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Nachvertragliches Wettbewerbsverbot</w:t>
      </w:r>
    </w:p>
    <w:p>
      <w:pPr>
        <w:pStyle w:val="Subtitle"/>
      </w:pPr>
      <w:r>
        <w:t>Unverbindliches Vorbereitungspapier · Informationsstand 14. September 2026</w:t>
      </w:r>
    </w:p>
    <w:p>
      <w:r>
        <w:rPr>
          <w:b/>
        </w:rPr>
        <w:t xml:space="preserve">Vor Verwendung: </w:t>
      </w:r>
      <w:r>
        <w:t>Der Download ist ein Eckpunktepapier, kein unterschriftsreifer Wettbewerbsverbotsvertrag. Eine fehlende Entschädigung wird nicht durch einen allgemeinen salvatorischen Satz geheilt.</w:t>
      </w:r>
    </w:p>
    <w:p>
      <w:pPr>
        <w:pStyle w:val="Subtitle"/>
      </w:pPr>
      <w:r>
        <w:t>Redaktioneller Entwurf, nicht anwaltlich geprüft. Alle Platzhalter, Alternativen und erforderlichen Anlagen müssen vor Verwendung vollständig und widerspruchsfrei bearbeitet werden. Keine individuelle Rechtsberatung und keine automatische rechtliche Freigabe.</w:t>
      </w:r>
    </w:p>
    <w:p>
      <w:pPr>
        <w:pStyle w:val="Subtitle"/>
      </w:pPr>
      <w:r>
        <w:t>Form: Arbeitnehmerrahmen: besondere Schriftform- und Aushändigungsanforderungen nach §§ 74 ff. HGB.</w:t>
      </w:r>
    </w:p>
    <w:p>
      <w:pPr>
        <w:pStyle w:val="Heading2"/>
      </w:pPr>
      <w:r>
        <w:t>1. Unverbindlicher Prüfrahmen</w:t>
      </w:r>
    </w:p>
    <w:p>
      <w:r>
        <w:t>Dieses Papier dokumentiert nur Gestaltungsfragen. Ein Wettbewerbsverbot wird hierdurch nicht begründet. Betroffene Beschäftigung: [FUNKTION]. Berechtigtes Schutzinteresse: [KONKRET].</w:t>
      </w:r>
    </w:p>
    <w:p>
      <w:pPr>
        <w:pStyle w:val="Heading2"/>
      </w:pPr>
      <w:r>
        <w:t>2. Geplanter Umfang</w:t>
      </w:r>
    </w:p>
    <w:p>
      <w:r>
        <w:t>Zu prüfender Tätigkeitsbereich: [ANGABEN]. Geografischer Markt: [ANGABEN]. Geplante Dauer: [DAUER INNERHALB DER GESETZLICHEN GRENZE]. Weniger eingreifende Alternativen: [ANGABEN].</w:t>
      </w:r>
    </w:p>
    <w:p>
      <w:pPr>
        <w:pStyle w:val="Heading2"/>
      </w:pPr>
      <w:r>
        <w:t>3. Karenzentschädigung</w:t>
      </w:r>
    </w:p>
    <w:p>
      <w:r>
        <w:t>Bemessungsgrundlage einschließlich relevanter Leistungen: [BERECHNUNG]. Geplante Entschädigung: [BETRAG, MINDESTANFORDERUNG PRÜFEN]. Fälligkeit und gesetzliche Anrechnung: [PRÜFPUNKTE].</w:t>
      </w:r>
    </w:p>
    <w:p>
      <w:pPr>
        <w:pStyle w:val="Heading2"/>
      </w:pPr>
      <w:r>
        <w:t>4. Weitere Prüfung</w:t>
      </w:r>
    </w:p>
    <w:p>
      <w:r>
        <w:t>Form, Aushändigung, Beendigungsgründe, Verzicht und Rechtsfolgen sind fachlich zu gestalten. Erst eine gesonderte formwirksame Endfassung kann verbindliche Pflichten begründen.</w:t>
      </w:r>
    </w:p>
    <w:p>
      <w:pPr>
        <w:pStyle w:val="Heading1"/>
      </w:pPr>
      <w:r>
        <w:t>Hinweise und Quellen – nicht Teil der Erklärung</w:t>
      </w:r>
    </w:p>
    <w:p>
      <w:pPr>
        <w:pStyle w:val="Subtitle"/>
        <w:keepNext/>
      </w:pPr>
      <w:r>
        <w:t>Redaktionelle Hintergrundinformationen. Kein Vertrag mit CALUMA durch den Download. Die individuelle Endfassung kann zusätzliche zwingende Angaben und weitere fachliche Prüfung benötigen.</w:t>
      </w:r>
    </w:p>
    <w:p>
      <w:pPr>
        <w:keepNext/>
        <w:spacing w:line="252" w:lineRule="auto" w:after="60"/>
      </w:pPr>
      <w:hyperlink r:id="rId11">
        <w:r>
          <w:rPr>
            <w:color w:val="166B63"/>
            <w:sz w:val="18"/>
          </w:rPr>
          <w:t>Erklärung, Anwendungsfall und Prüfpunkte bei CALUMA</w:t>
        </w:r>
      </w:hyperlink>
    </w:p>
    <w:p>
      <w:pPr>
        <w:keepLines/>
        <w:spacing w:line="252" w:lineRule="auto" w:after="60"/>
      </w:pPr>
      <w:hyperlink r:id="rId12">
        <w:r>
          <w:rPr>
            <w:color w:val="166B63"/>
            <w:sz w:val="18"/>
          </w:rPr>
          <w:t>§§ 74 ff. HGB – Nachvertragliches Wettbewerbsverbot</w:t>
        </w:r>
      </w:hyperlink>
      <w:r>
        <w:rPr>
          <w:sz w:val="18"/>
        </w:rPr>
        <w:t xml:space="preserve">  ·  </w:t>
      </w:r>
      <w:hyperlink r:id="rId13">
        <w:r>
          <w:rPr>
            <w:color w:val="166B63"/>
            <w:sz w:val="18"/>
          </w:rPr>
          <w:t>§ 74a HGB – Grenzen eines Wettbewerbsverbots</w:t>
        </w:r>
      </w:hyperlink>
      <w:r>
        <w:rPr>
          <w:sz w:val="18"/>
        </w:rPr>
        <w:t xml:space="preserve">  ·  </w:t>
      </w:r>
      <w:hyperlink r:id="rId14">
        <w:r>
          <w:rPr>
            <w:color w:val="166B63"/>
            <w:sz w:val="18"/>
          </w:rPr>
          <w:t>HGB – Handelsrecht und stille Gesellschaft</w:t>
        </w:r>
      </w:hyperlink>
      <w:r>
        <w:rPr>
          <w:sz w:val="18"/>
        </w:rPr>
        <w:t xml:space="preserve">  ·  </w:t>
      </w:r>
      <w:hyperlink r:id="rId15">
        <w:r>
          <w:rPr>
            <w:color w:val="166B63"/>
            <w:sz w:val="18"/>
          </w:rPr>
          <w:t>GmbHG – Vertretung, Geschäftsführung und Gesellschaftsrecht</w:t>
        </w:r>
      </w:hyperlink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91" w:bottom="1020" w:left="1191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color w:val="506661"/>
        <w:sz w:val="16"/>
      </w:rPr>
      <w:t>Muster · keine anwaltliche Prüfung · 09/2026</w:t>
    </w:r>
    <w:r>
      <w:rPr>
        <w:sz w:val="16"/>
      </w:rPr>
      <w:t xml:space="preserve">    Seite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166B63"/>
        <w:sz w:val="18"/>
      </w:rPr>
      <w:t>CALUMA  /  VERTRAGSBIBLIOTHEK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themeFontLang w:val="de-DE"/>
  <w:autoHyphenation w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20"/>
    </w:pPr>
    <w:rPr>
      <w:rFonts w:ascii="Arial" w:hAnsi="Arial" w:eastAsia="Arial"/>
      <w:b w:val="0"/>
      <w:i w:val="0"/>
      <w:color w:val="102321"/>
      <w:sz w:val="21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i w:val="0"/>
      <w:color w:val="166B6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i w:val="0"/>
      <w:color w:val="166B6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166B63"/>
      </w:pBdr>
      <w:spacing w:after="24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i w:val="0"/>
      <w:color w:val="102321"/>
      <w:spacing w:val="0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80"/>
    </w:pPr>
    <w:rPr>
      <w:rFonts w:asciiTheme="majorHAnsi" w:eastAsiaTheme="majorEastAsia" w:hAnsiTheme="majorHAnsi" w:cstheme="majorBidi" w:ascii="Arial" w:hAnsi="Arial" w:eastAsia="Arial"/>
      <w:b w:val="0"/>
      <w:i w:val="0"/>
      <w:iCs/>
      <w:color w:val="506661"/>
      <w:spacing w:val="0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caluma.jobs/arbeitsvertraege/wettbewerbsverbot/" TargetMode="External"/><Relationship Id="rId12" Type="http://schemas.openxmlformats.org/officeDocument/2006/relationships/hyperlink" Target="https://www.gesetze-im-internet.de/hgb/__74.html" TargetMode="External"/><Relationship Id="rId13" Type="http://schemas.openxmlformats.org/officeDocument/2006/relationships/hyperlink" Target="https://www.gesetze-im-internet.de/hgb/__74a.html" TargetMode="External"/><Relationship Id="rId14" Type="http://schemas.openxmlformats.org/officeDocument/2006/relationships/hyperlink" Target="https://www.gesetze-im-internet.de/hgb/" TargetMode="External"/><Relationship Id="rId15" Type="http://schemas.openxmlformats.org/officeDocument/2006/relationships/hyperlink" Target="https://www.gesetze-im-internet.de/gmbh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Nachvertragliches Wettbewerbsverbot</dc:title>
  <dc:subject>Unverbindliches Vorbereitungspapier</dc:subject>
  <dc:creator>CALUMA</dc:creator>
  <cp:keywords>Muster, Deutschland, Vertragsbibliothek</cp:keywords>
  <dc:description/>
  <cp:lastModifiedBy>CALUMA</cp:lastModifiedBy>
  <cp:revision>1</cp:revision>
  <dcterms:created xsi:type="dcterms:W3CDTF">2013-12-23T23:15:00Z</dcterms:created>
  <dcterms:modified xsi:type="dcterms:W3CDTF">2013-12-23T23:15:00Z</dcterms:modified>
  <cp:category/>
</cp:coreProperties>
</file>