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Vollzeitarbeitsvertrag</w:t>
      </w:r>
    </w:p>
    <w:p>
      <w:pPr>
        <w:pStyle w:val="Subtitle"/>
      </w:pPr>
      <w:r>
        <w:t>Arbeitsvertragsmuster · Informationsstand 14. September 2026</w:t>
      </w:r>
    </w:p>
    <w:p>
      <w:r>
        <w:rPr>
          <w:b/>
        </w:rPr>
        <w:t xml:space="preserve">Vor Verwendung: </w:t>
      </w:r>
      <w:r>
        <w:t>„Vollzeit nach Bedarf“ ist kein Ersatz für eine bestimmte regelmäßige Wochenarbeitszeit. Ein attraktives Monatsgehalt kann bei unklarer Mehrarbeit zu einem deutlich niedrigeren effektiven Stundenverdienst führen.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und wird auf unbestimmte Zeit geschlossen.</w:t>
      </w:r>
    </w:p>
    <w:p>
      <w:pPr>
        <w:pStyle w:val="Heading2"/>
      </w:pPr>
      <w:r>
        <w:t>3. Vollzeitumfang und Verteilung</w:t>
      </w:r>
    </w:p>
    <w:p>
      <w:r>
        <w:t>Die regelmäßige Arbeitszeit beträgt [STUNDEN] Stunden pro Woche ohne Ruhepausen. Der betriebliche Vollzeitmaßstab beträgt [STUNDEN]. Die Verteilung erfolgt auf [TAGE] nach [KONKRETES MODELL].</w:t>
      </w:r>
    </w:p>
    <w:p>
      <w:pPr>
        <w:pStyle w:val="Heading2"/>
      </w:pPr>
      <w:r>
        <w:t>4. Mehrarbeit</w:t>
      </w:r>
    </w:p>
    <w:p>
      <w:r>
        <w:t>Zusätzliche Stunden werden nur auf ausdrückliche Anordnung oder nachträgliche Genehmigung dokumentiert. Jede vergütungspflichtige zusätzliche Stunde wird mit dem vereinbarten Stundenwert bezahlt; ein Freizeitausgleich kann im Einzelfall vereinbart werden.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ArbZG – Höchstarbeitszeit, Pausen und Ruhezeit</w:t>
        </w:r>
      </w:hyperlink>
      <w:r>
        <w:rPr>
          <w:sz w:val="18"/>
        </w:rPr>
        <w:t xml:space="preserve">  ·  </w:t>
      </w:r>
      <w:hyperlink r:id="rId13">
        <w:r>
          <w:rPr>
            <w:color w:val="166B63"/>
            <w:sz w:val="18"/>
          </w:rPr>
          <w:t>BGB – Vertragsschluss, Dienstvertrag, Arbeitsvertrag und AGB-Kontrolle</w:t>
        </w:r>
      </w:hyperlink>
      <w:r>
        <w:rPr>
          <w:sz w:val="18"/>
        </w:rPr>
        <w:t xml:space="preserve">  ·  </w:t>
      </w:r>
      <w:hyperlink r:id="rId14">
        <w:r>
          <w:rPr>
            <w:color w:val="166B63"/>
            <w:sz w:val="18"/>
          </w:rPr>
          <w:t>§ 2 NachwG – Pflichtangaben, Nachweis und elektronische Übermittlung</w:t>
        </w:r>
      </w:hyperlink>
      <w:r>
        <w:rPr>
          <w:sz w:val="18"/>
        </w:rPr>
        <w:t xml:space="preserve">  ·  </w:t>
      </w:r>
      <w:hyperlink r:id="rId15">
        <w:r>
          <w:rPr>
            <w:color w:val="166B63"/>
            <w:sz w:val="18"/>
          </w:rPr>
          <w:t>MiLoG – Mindestlohn und persönlicher Anwendungsbereich</w:t>
        </w:r>
      </w:hyperlink>
      <w:r>
        <w:rPr>
          <w:sz w:val="18"/>
        </w:rPr>
        <w:t xml:space="preserve">  ·  </w:t>
      </w:r>
      <w:hyperlink r:id="rId16">
        <w:r>
          <w:rPr>
            <w:color w:val="166B63"/>
            <w:sz w:val="18"/>
          </w:rPr>
          <w:t>BUrlG – Gesetzlicher Mindesturlaub</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vollzeit/" TargetMode="External"/><Relationship Id="rId12" Type="http://schemas.openxmlformats.org/officeDocument/2006/relationships/hyperlink" Target="https://www.gesetze-im-internet.de/arbzg/" TargetMode="External"/><Relationship Id="rId13" Type="http://schemas.openxmlformats.org/officeDocument/2006/relationships/hyperlink" Target="https://www.gesetze-im-internet.de/bgb/" TargetMode="External"/><Relationship Id="rId14" Type="http://schemas.openxmlformats.org/officeDocument/2006/relationships/hyperlink" Target="https://www.gesetze-im-internet.de/nachwg/__2.html" TargetMode="External"/><Relationship Id="rId15" Type="http://schemas.openxmlformats.org/officeDocument/2006/relationships/hyperlink" Target="https://www.gesetze-im-internet.de/milog/" TargetMode="External"/><Relationship Id="rId16" Type="http://schemas.openxmlformats.org/officeDocument/2006/relationships/hyperlink" Target="https://www.gesetze-im-internet.de/burlg/BJNR0000209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Vollzeitarbeitsvertrag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