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Unbefristeter Arbeitsvertrag</w:t>
      </w:r>
    </w:p>
    <w:p>
      <w:pPr>
        <w:pStyle w:val="Subtitle"/>
      </w:pPr>
      <w:r>
        <w:t>Arbeitsvertragsmuster · Informationsstand 14. September 2026</w:t>
      </w:r>
    </w:p>
    <w:p>
      <w:r>
        <w:rPr>
          <w:b/>
        </w:rPr>
        <w:t xml:space="preserve">Vor Verwendung: </w:t>
      </w:r>
      <w:r>
        <w:t>Ein unbefristeter Vertrag ohne klare Arbeitszeit- oder Vergütungsregelung ist nicht automatisch ein gutes Angebot. Verlassen Sie sich nicht auf mündliche Nebenabreden, die im finalen Text anders erscheinen.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und wird auf unbestimmte Zeit geschlossen. Eine automatische Beendigung wegen Rentenbezugs wird mit diesem Muster nicht vereinbart.</w:t>
      </w:r>
    </w:p>
    <w:p>
      <w:pPr>
        <w:pStyle w:val="Heading2"/>
      </w:pPr>
      <w:r>
        <w:t>3. Probezeit</w:t>
      </w:r>
    </w:p>
    <w:p>
      <w:r>
        <w:t>Die ersten [ANZAHL, HÖCHSTENS SECHS] Monate gelten als Probezeit. Während einer wirksam vereinbarten Probezeit gelten die gesetzlichen Kündigungsregeln; zwingende Schutzvorschriften bleiben unberührt.</w:t>
      </w:r>
    </w:p>
    <w:p>
      <w:pPr>
        <w:pStyle w:val="Heading2"/>
      </w:pPr>
      <w:r>
        <w:t>4. Aufgabenschwerpunkt</w:t>
      </w:r>
    </w:p>
    <w:p>
      <w:r>
        <w:t>Die Beschäftigung erfolgt als [TÄTIGKEIT] mit dem Schwerpunkt [AUFGABEN]. Dauerhafter Arbeitsort ist [ORT]. Weitergehende Einsatzorte bedürfen einer konkreten, zumutbaren Vereinbarung.</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611a BGB – Arbeitsvertrag und tatsächliche Durchführung</w:t>
        </w:r>
      </w:hyperlink>
      <w:r>
        <w:rPr>
          <w:sz w:val="18"/>
        </w:rPr>
        <w:t xml:space="preserve">  ·  </w:t>
      </w:r>
      <w:hyperlink r:id="rId13">
        <w:r>
          <w:rPr>
            <w:color w:val="166B63"/>
            <w:sz w:val="18"/>
          </w:rPr>
          <w:t>TzBfG – Teilzeit, Abrufarbeit, Arbeitsplatzteilung und Befristung</w:t>
        </w:r>
      </w:hyperlink>
      <w:r>
        <w:rPr>
          <w:sz w:val="18"/>
        </w:rPr>
        <w:t xml:space="preserve">  ·  </w:t>
      </w:r>
      <w:hyperlink r:id="rId14">
        <w:r>
          <w:rPr>
            <w:color w:val="166B63"/>
            <w:sz w:val="18"/>
          </w:rPr>
          <w:t>§ 622 BGB – Kündigungsfristen bei Arbeitsverhältnissen</w:t>
        </w:r>
      </w:hyperlink>
      <w:r>
        <w:rPr>
          <w:sz w:val="18"/>
        </w:rPr>
        <w:t xml:space="preserve">  ·  </w:t>
      </w:r>
      <w:hyperlink r:id="rId15">
        <w:r>
          <w:rPr>
            <w:color w:val="166B63"/>
            <w:sz w:val="18"/>
          </w:rPr>
          <w:t>§ 623 BGB – Schriftform und Ausschluss der elektronischen Form</w:t>
        </w:r>
      </w:hyperlink>
      <w:r>
        <w:rPr>
          <w:sz w:val="18"/>
        </w:rPr>
        <w:t xml:space="preserve">  ·  </w:t>
      </w:r>
      <w:hyperlink r:id="rId16">
        <w:r>
          <w:rPr>
            <w:color w:val="166B63"/>
            <w:sz w:val="18"/>
          </w:rPr>
          <w:t>KSchG – Kündigungsschutz und Klagefristen</w:t>
        </w:r>
      </w:hyperlink>
      <w:r>
        <w:rPr>
          <w:sz w:val="18"/>
        </w:rPr>
        <w:t xml:space="preserve">  ·  </w:t>
      </w:r>
      <w:hyperlink r:id="rId17">
        <w:r>
          <w:rPr>
            <w:color w:val="166B63"/>
            <w:sz w:val="18"/>
          </w:rPr>
          <w:t>§ 2 NachwG – Pflichtangaben, Nachweis und elektronische Übermittlung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unbefristet/" TargetMode="External"/><Relationship Id="rId12" Type="http://schemas.openxmlformats.org/officeDocument/2006/relationships/hyperlink" Target="https://www.gesetze-im-internet.de/bgb/__611a.html" TargetMode="External"/><Relationship Id="rId13" Type="http://schemas.openxmlformats.org/officeDocument/2006/relationships/hyperlink" Target="https://www.gesetze-im-internet.de/tzbfg/BJNR196610000.html" TargetMode="External"/><Relationship Id="rId14" Type="http://schemas.openxmlformats.org/officeDocument/2006/relationships/hyperlink" Target="https://www.gesetze-im-internet.de/bgb/__622.html" TargetMode="External"/><Relationship Id="rId15" Type="http://schemas.openxmlformats.org/officeDocument/2006/relationships/hyperlink" Target="https://www.gesetze-im-internet.de/bgb/__623.html" TargetMode="External"/><Relationship Id="rId16" Type="http://schemas.openxmlformats.org/officeDocument/2006/relationships/hyperlink" Target="https://www.gesetze-im-internet.de/kschg/" TargetMode="External"/><Relationship Id="rId17" Type="http://schemas.openxmlformats.org/officeDocument/2006/relationships/hyperlink" Target="https://www.gesetze-im-internet.de/nachwg/__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Unbefristeter 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