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Trainee-Arbeitsvertrag</w:t>
      </w:r>
    </w:p>
    <w:p>
      <w:pPr>
        <w:pStyle w:val="Subtitle"/>
      </w:pPr>
      <w:r>
        <w:t>Arbeitsvertragsmuster · Informationsstand 14. September 2026</w:t>
      </w:r>
    </w:p>
    <w:p>
      <w:r>
        <w:rPr>
          <w:b/>
        </w:rPr>
        <w:t xml:space="preserve">Vor Verwendung: </w:t>
      </w:r>
      <w:r>
        <w:t>Ein Traineeprogramm ist kein pauschales Praktikumsprivileg. Auch der Ablauf eines Programms beendet einen unbefristeten Vertrag nicht automatisch.</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auf unbestimmte Zeit. Das Traineeprogramm dauert planmäßig bis [DATUM], ohne dass dadurch das Arbeitsverhältnis automatisch endet.</w:t>
      </w:r>
    </w:p>
    <w:p>
      <w:pPr>
        <w:pStyle w:val="Heading2"/>
      </w:pPr>
      <w:r>
        <w:t>3. Programm und Betreuung</w:t>
      </w:r>
    </w:p>
    <w:p>
      <w:r>
        <w:t>Stationen, Lernziele und Mentoren werden in Anlage 1 festgelegt. Die Tätigkeit umfasst [AUFGABEN]. Regelmäßige Feedbackgespräche erfolgen zu [TERMINE].</w:t>
      </w:r>
    </w:p>
    <w:p>
      <w:pPr>
        <w:pStyle w:val="Heading2"/>
      </w:pPr>
      <w:r>
        <w:t>4. Vergütung und Entwicklung</w:t>
      </w:r>
    </w:p>
    <w:p>
      <w:r>
        <w:t>Monatliches Bruttoentgelt: [BETRAG]. Ein Gespräch über die anschließende Zielrolle findet bis [DATUM] statt. Eine konkrete Beförderung wird nur zugesagt, soweit sie ausdrücklich und eindeutig vereinbart ist.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611a BGB – Arbeitsvertrag und tatsächliche Durchführung</w:t>
        </w:r>
      </w:hyperlink>
      <w:r>
        <w:rPr>
          <w:sz w:val="18"/>
        </w:rPr>
        <w:t xml:space="preserve">  ·  </w:t>
      </w:r>
      <w:hyperlink r:id="rId13">
        <w:r>
          <w:rPr>
            <w:color w:val="166B63"/>
            <w:sz w:val="18"/>
          </w:rPr>
          <w:t>§ 22 MiLoG – Praktika, Jugendliche und weitere Ausnahmen</w:t>
        </w:r>
      </w:hyperlink>
      <w:r>
        <w:rPr>
          <w:sz w:val="18"/>
        </w:rPr>
        <w:t xml:space="preserve">  ·  </w:t>
      </w:r>
      <w:hyperlink r:id="rId14">
        <w:r>
          <w:rPr>
            <w:color w:val="166B63"/>
            <w:sz w:val="18"/>
          </w:rPr>
          <w:t>BBiG – Berufsausbildung und andere Berufsbildungsverhältnisse</w:t>
        </w:r>
      </w:hyperlink>
      <w:r>
        <w:rPr>
          <w:sz w:val="18"/>
        </w:rPr>
        <w:t xml:space="preserve">  ·  </w:t>
      </w:r>
      <w:hyperlink r:id="rId15">
        <w:r>
          <w:rPr>
            <w:color w:val="166B63"/>
            <w:sz w:val="18"/>
          </w:rPr>
          <w:t>TzBfG – Teilzeit, Abrufarbeit, Arbeitsplatzteilung und Befristung</w:t>
        </w:r>
      </w:hyperlink>
      <w:r>
        <w:rPr>
          <w:sz w:val="18"/>
        </w:rPr>
        <w:t xml:space="preserve">  ·  </w:t>
      </w:r>
      <w:hyperlink r:id="rId16">
        <w:r>
          <w:rPr>
            <w:color w:val="166B63"/>
            <w:sz w:val="18"/>
          </w:rPr>
          <w:t>BGB – Vertragsschluss, Dienstvertrag, Arbeitsvertrag und AGB-Kontrolle</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trainee/" TargetMode="External"/><Relationship Id="rId12" Type="http://schemas.openxmlformats.org/officeDocument/2006/relationships/hyperlink" Target="https://www.gesetze-im-internet.de/bgb/__611a.html" TargetMode="External"/><Relationship Id="rId13" Type="http://schemas.openxmlformats.org/officeDocument/2006/relationships/hyperlink" Target="https://www.gesetze-im-internet.de/milog/__22.html" TargetMode="External"/><Relationship Id="rId14" Type="http://schemas.openxmlformats.org/officeDocument/2006/relationships/hyperlink" Target="https://www.gesetze-im-internet.de/bbig_2005/" TargetMode="External"/><Relationship Id="rId15" Type="http://schemas.openxmlformats.org/officeDocument/2006/relationships/hyperlink" Target="https://www.gesetze-im-internet.de/tzbfg/BJNR196610000.html" TargetMode="External"/><Relationship Id="rId16"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Trainee-Arbeitsvertrag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