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Teilzeitarbeitsvertrag</w:t>
      </w:r>
    </w:p>
    <w:p>
      <w:pPr>
        <w:pStyle w:val="Subtitle"/>
      </w:pPr>
      <w:r>
        <w:t>Arbeitsvertragsmuster · Informationsstand 14. September 2026</w:t>
      </w:r>
    </w:p>
    <w:p>
      <w:r>
        <w:rPr>
          <w:b/>
        </w:rPr>
        <w:t xml:space="preserve">Vor Verwendung: </w:t>
      </w:r>
      <w:r>
        <w:t>Weniger Wochenstunden bedeuten bei gleichbleibend fünf Arbeitstagen nicht weniger gesetzliche Urlaubstage. Beim Wechsel der Verteilung müssen bereits entstandene Urlaubsansprüche gesondert betrachtet werden.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Arbeitsvertrag und Nachweispflichten unterscheiden; bei Befristung rechtzeitige formwirksame Befristungsabrede.</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Laufzeit</w:t>
      </w:r>
    </w:p>
    <w:p>
      <w:r>
        <w:t>Die Beschäftigung beginnt am [BEGINN] auf unbestimmte Zeit.</w:t>
      </w:r>
    </w:p>
    <w:p>
      <w:pPr>
        <w:pStyle w:val="Heading2"/>
      </w:pPr>
      <w:r>
        <w:t>3. Teilzeitmodell</w:t>
      </w:r>
    </w:p>
    <w:p>
      <w:r>
        <w:t>Vereinbart werden [STUNDEN] Wochenstunden ohne Pausen, verteilt auf [ARBEITSTAGE UND UHRZEITRAHMEN]. Der vergleichbare Vollzeitumfang beträgt [STUNDEN]. Änderungen der festen Verteilung bedürfen einer gesonderten Abstimmung.</w:t>
      </w:r>
    </w:p>
    <w:p>
      <w:pPr>
        <w:pStyle w:val="Heading2"/>
      </w:pPr>
      <w:r>
        <w:t>4. Vergleichbare Leistungen</w:t>
      </w:r>
    </w:p>
    <w:p>
      <w:r>
        <w:t>Teilbare Vergütungsbestandteile werden im Verhältnis zum maßgeblichen Vollzeitumfang gewährt, soweit keine sachlich gerechtfertigte andere Regelung gilt. Der Urlaub wird anhand der tatsächlichen Arbeitstage bestimmt.</w:t>
      </w:r>
    </w:p>
    <w:p>
      <w:pPr>
        <w:pStyle w:val="Heading2"/>
      </w:pPr>
      <w:r>
        <w:t>5.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6.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7.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8.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9.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10.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11.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12.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TzBfG – Teilzeit, Abrufarbeit, Arbeitsplatzteilung und Befristung</w:t>
        </w:r>
      </w:hyperlink>
      <w:r>
        <w:rPr>
          <w:sz w:val="18"/>
        </w:rPr>
        <w:t xml:space="preserve">  ·  </w:t>
      </w:r>
      <w:hyperlink r:id="rId13">
        <w:r>
          <w:rPr>
            <w:color w:val="166B63"/>
            <w:sz w:val="18"/>
          </w:rPr>
          <w:t>BUrlG – Gesetzlicher Mindesturlaub</w:t>
        </w:r>
      </w:hyperlink>
      <w:r>
        <w:rPr>
          <w:sz w:val="18"/>
        </w:rPr>
        <w:t xml:space="preserve">  ·  </w:t>
      </w:r>
      <w:hyperlink r:id="rId14">
        <w:r>
          <w:rPr>
            <w:color w:val="166B63"/>
            <w:sz w:val="18"/>
          </w:rPr>
          <w:t>§ 2 NachwG – Pflichtangaben, Nachweis und elektronische Übermittlung</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teilzeit/" TargetMode="External"/><Relationship Id="rId12" Type="http://schemas.openxmlformats.org/officeDocument/2006/relationships/hyperlink" Target="https://www.gesetze-im-internet.de/tzbfg/BJNR196610000.html" TargetMode="External"/><Relationship Id="rId13" Type="http://schemas.openxmlformats.org/officeDocument/2006/relationships/hyperlink" Target="https://www.gesetze-im-internet.de/burlg/BJNR000020963.html" TargetMode="External"/><Relationship Id="rId14" Type="http://schemas.openxmlformats.org/officeDocument/2006/relationships/hyperlink" Target="https://www.gesetze-im-internet.de/nachwg/__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Teilzeitarbeitsvertrag</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