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Schülerjob-Vertrag</w:t>
      </w:r>
    </w:p>
    <w:p>
      <w:pPr>
        <w:pStyle w:val="Subtitle"/>
      </w:pPr>
      <w:r>
        <w:t>Arbeitsvertragsmuster · Informationsstand 14. September 2026</w:t>
      </w:r>
    </w:p>
    <w:p>
      <w:r>
        <w:rPr>
          <w:b/>
        </w:rPr>
        <w:t xml:space="preserve">Vor Verwendung: </w:t>
      </w:r>
      <w:r>
        <w:t>Vorlagen niemals als Ersatz für Alters-, Schulpflicht- und Tätigkeitsschutz verwenden. Bei unklarer Zulässigkeit muss die Beschäftigung vor Beginn mit der zuständigen Stelle geklärt werden.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Zustimmung beziehungsweise Vertretung bei Minderjährigen klären; Befristung gesondert formgerecht.</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Voraussetzungen und Vertretung</w:t>
      </w:r>
    </w:p>
    <w:p>
      <w:r>
        <w:t>Beschäftigte Person: [NAME, GEBURTSDATUM]. Schulstatus: [ANGABE]. Gesetzliche Vertretung: [NAME UND ANSCHRIFT]. Konkrete gesetzliche Grundlage der zulässigen Beschäftigung: [GEPRÜFTE AUSNAHME].</w:t>
      </w:r>
    </w:p>
    <w:p>
      <w:pPr>
        <w:pStyle w:val="Heading2"/>
      </w:pPr>
      <w:r>
        <w:t>3. Beginn und Laufzeit</w:t>
      </w:r>
    </w:p>
    <w:p>
      <w:r>
        <w:t>Beginn: [DATUM]. Dieses Grundmuster sieht keine automatische Befristung vor. Für einen befristeten Ferienjob ist eine gesonderte formwirksame Befristungsabrede erforderlich.</w:t>
      </w:r>
    </w:p>
    <w:p>
      <w:pPr>
        <w:pStyle w:val="Heading2"/>
      </w:pPr>
      <w:r>
        <w:t>4. Erlaubte Aufgaben und Zeiten</w:t>
      </w:r>
    </w:p>
    <w:p>
      <w:r>
        <w:t>Ausschließlich zulässige leichte beziehungsweise altersgerecht geprüfte Aufgaben: [ANGABEN]. Arbeitszeiten, Pausen und freie Tage: [GENAUE REGELUNG]. Schule und gesetzliche Schutzzeiten haben Vorrang.</w:t>
      </w:r>
    </w:p>
    <w:p>
      <w:pPr>
        <w:pStyle w:val="Heading2"/>
      </w:pPr>
      <w:r>
        <w:t>5. Vergütung und Sicherheit</w:t>
      </w:r>
    </w:p>
    <w:p>
      <w:r>
        <w:t>Bruttolohn: [BETRAG]. Schutzunterweisung und gegebenenfalls vorgeschriebene Untersuchung werden dokumentiert. Die beschäftigte Person und ihre gesetzliche Vertretung erhalten eine vollständige Ausfertigung.</w:t>
      </w:r>
    </w:p>
    <w:p>
      <w:pPr>
        <w:pStyle w:val="Heading2"/>
      </w:pPr>
      <w:r>
        <w:t>6.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7.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8.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9.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10.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11.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12.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13.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JArbSchG – Beschäftigung von Kindern und Jugendlichen</w:t>
        </w:r>
      </w:hyperlink>
      <w:r>
        <w:rPr>
          <w:sz w:val="18"/>
        </w:rPr>
        <w:t xml:space="preserve">  ·  </w:t>
      </w:r>
      <w:hyperlink r:id="rId13">
        <w:r>
          <w:rPr>
            <w:color w:val="166B63"/>
            <w:sz w:val="18"/>
          </w:rPr>
          <w:t>BGB – Vertragsschluss, Dienstvertrag, Arbeitsvertrag und AGB-Kontrolle</w:t>
        </w:r>
      </w:hyperlink>
      <w:r>
        <w:rPr>
          <w:sz w:val="18"/>
        </w:rPr>
        <w:t xml:space="preserve">  ·  </w:t>
      </w:r>
      <w:hyperlink r:id="rId14">
        <w:r>
          <w:rPr>
            <w:color w:val="166B63"/>
            <w:sz w:val="18"/>
          </w:rPr>
          <w:t>§ 22 MiLoG – Praktika, Jugendliche und weitere Ausnahmen</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schuelerjob/" TargetMode="External"/><Relationship Id="rId12" Type="http://schemas.openxmlformats.org/officeDocument/2006/relationships/hyperlink" Target="https://www.gesetze-im-internet.de/jarbschg/BJNR009650976.html" TargetMode="External"/><Relationship Id="rId13" Type="http://schemas.openxmlformats.org/officeDocument/2006/relationships/hyperlink" Target="https://www.gesetze-im-internet.de/bgb/" TargetMode="External"/><Relationship Id="rId14" Type="http://schemas.openxmlformats.org/officeDocument/2006/relationships/hyperlink" Target="https://www.gesetze-im-internet.de/milog/__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Schülerjob-Vertrag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