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Saisonarbeitsvertrag</w:t>
      </w:r>
    </w:p>
    <w:p>
      <w:pPr>
        <w:pStyle w:val="Subtitle"/>
      </w:pPr>
      <w:r>
        <w:t>Arbeitsvertragsmuster · Informationsstand 14. September 2026</w:t>
      </w:r>
    </w:p>
    <w:p>
      <w:r>
        <w:rPr>
          <w:b/>
        </w:rPr>
        <w:t xml:space="preserve">Vor Verwendung: </w:t>
      </w:r>
      <w:r>
        <w:t>Saison und Kurzfristigkeit sind unterschiedliche Begriffe. Prüfen Sie außerdem, ob Abzüge für Unterkunft oder Ausrüstung rechtlich zulässig und verständlich vereinbart sind.</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Befristung formgerecht vor Beginn; zusätzliche grenzüberschreitende Anforderungen prüfen.</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Saison und Laufzeit</w:t>
      </w:r>
    </w:p>
    <w:p>
      <w:r>
        <w:t>Die Beschäftigung für die Saison [BEZEICHNUNG] beginnt am [BEGINN] und endet am [ENDE]. Befristungsgrundlage und vorübergehender Mehrbedarf: [KONKRETE DOKUMENTATION].</w:t>
      </w:r>
    </w:p>
    <w:p>
      <w:pPr>
        <w:pStyle w:val="Heading2"/>
      </w:pPr>
      <w:r>
        <w:t>3. Arbeitsbedingungen</w:t>
      </w:r>
    </w:p>
    <w:p>
      <w:r>
        <w:t>Tätigkeit: [AUFGABEN]. Einsatzort: [ORT]. Arbeitszeitmodell: [STUNDEN, TAGE, SCHICHTEN]. Bruttolohn: [BETRAG]. Schutz- und Ruhezeiten werden eingehalten.</w:t>
      </w:r>
    </w:p>
    <w:p>
      <w:pPr>
        <w:pStyle w:val="Heading2"/>
      </w:pPr>
      <w:r>
        <w:t>4. Unterkunft und Nebenleistungen</w:t>
      </w:r>
    </w:p>
    <w:p>
      <w:r>
        <w:t>Unterkunft, Verpflegung oder Transport werden nur nach gesonderter transparenter Vereinbarung bereitgestellt. Kosten und zulässige Abzüge werden einzeln ausgewiesen; zwingende Vergütungsansprüche bleiben unberührt.</w:t>
      </w:r>
    </w:p>
    <w:p>
      <w:pPr>
        <w:pStyle w:val="Heading2"/>
      </w:pPr>
      <w:r>
        <w:t>5. Vorzeitige Kündigung</w:t>
      </w:r>
    </w:p>
    <w:p>
      <w:r>
        <w:t>Die ordentliche Kündigung wird während der Saison ausdrücklich zugelassen; es gelten die einschlägigen gesetzlichen Fristen.</w:t>
      </w:r>
    </w:p>
    <w:p>
      <w:pPr>
        <w:pStyle w:val="Heading2"/>
      </w:pPr>
      <w:r>
        <w:t>6.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7.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8.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9.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10.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11.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12.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13.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TzBfG – Teilzeit, Abrufarbeit, Arbeitsplatzteilung und Befristung</w:t>
        </w:r>
      </w:hyperlink>
      <w:r>
        <w:rPr>
          <w:sz w:val="18"/>
        </w:rPr>
        <w:t xml:space="preserve">  ·  </w:t>
      </w:r>
      <w:hyperlink r:id="rId13">
        <w:r>
          <w:rPr>
            <w:color w:val="166B63"/>
            <w:sz w:val="18"/>
          </w:rPr>
          <w:t>§ 8 SGB IV – Geringfügige und kurzfristige Beschäftigung</w:t>
        </w:r>
      </w:hyperlink>
      <w:r>
        <w:rPr>
          <w:sz w:val="18"/>
        </w:rPr>
        <w:t xml:space="preserve">  ·  </w:t>
      </w:r>
      <w:hyperlink r:id="rId14">
        <w:r>
          <w:rPr>
            <w:color w:val="166B63"/>
            <w:sz w:val="18"/>
          </w:rPr>
          <w:t>§ 7 SGB IV – Beschäftigung</w:t>
        </w:r>
      </w:hyperlink>
      <w:r>
        <w:rPr>
          <w:sz w:val="18"/>
        </w:rPr>
        <w:t xml:space="preserve">  ·  </w:t>
      </w:r>
      <w:hyperlink r:id="rId15">
        <w:r>
          <w:rPr>
            <w:color w:val="166B63"/>
            <w:sz w:val="18"/>
          </w:rPr>
          <w:t>MiLoG – Mindestlohn und persönlicher Anwendungsbereich</w:t>
        </w:r>
      </w:hyperlink>
      <w:r>
        <w:rPr>
          <w:sz w:val="18"/>
        </w:rPr>
        <w:t xml:space="preserve">  ·  </w:t>
      </w:r>
      <w:hyperlink r:id="rId16">
        <w:r>
          <w:rPr>
            <w:color w:val="166B63"/>
            <w:sz w:val="18"/>
          </w:rPr>
          <w:t>ArbZG – Höchstarbeitszeit, Pausen und Ruhezeit</w:t>
        </w:r>
      </w:hyperlink>
      <w:r>
        <w:rPr>
          <w:sz w:val="18"/>
        </w:rPr>
        <w:t xml:space="preserve">  ·  </w:t>
      </w:r>
      <w:hyperlink r:id="rId17">
        <w:r>
          <w:rPr>
            <w:color w:val="166B63"/>
            <w:sz w:val="18"/>
          </w:rPr>
          <w:t>BGB – Vertragsschluss, Dienstvertrag, Arbeitsvertrag und AGB-Kontrolle</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saison/" TargetMode="External"/><Relationship Id="rId12" Type="http://schemas.openxmlformats.org/officeDocument/2006/relationships/hyperlink" Target="https://www.gesetze-im-internet.de/tzbfg/BJNR196610000.html" TargetMode="External"/><Relationship Id="rId13" Type="http://schemas.openxmlformats.org/officeDocument/2006/relationships/hyperlink" Target="https://www.gesetze-im-internet.de/sgb_4/__8.html" TargetMode="External"/><Relationship Id="rId14" Type="http://schemas.openxmlformats.org/officeDocument/2006/relationships/hyperlink" Target="https://www.gesetze-im-internet.de/sgb_4/__7.html" TargetMode="External"/><Relationship Id="rId15" Type="http://schemas.openxmlformats.org/officeDocument/2006/relationships/hyperlink" Target="https://www.gesetze-im-internet.de/milog/" TargetMode="External"/><Relationship Id="rId16" Type="http://schemas.openxmlformats.org/officeDocument/2006/relationships/hyperlink" Target="https://www.gesetze-im-internet.de/arbzg/" TargetMode="External"/><Relationship Id="rId17" Type="http://schemas.openxmlformats.org/officeDocument/2006/relationships/hyperlink" Target="https://www.gesetze-im-internet.de/bg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Saisonarbeitsvertrag</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