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Sachgrundlos befristeter Arbeitsvertrag</w:t>
      </w:r>
    </w:p>
    <w:p>
      <w:pPr>
        <w:pStyle w:val="Subtitle"/>
      </w:pPr>
      <w:r>
        <w:t>Arbeitsvertragsmuster · Informationsstand 14. September 2026</w:t>
      </w:r>
    </w:p>
    <w:p>
      <w:r>
        <w:rPr>
          <w:b/>
        </w:rPr>
        <w:t xml:space="preserve">Vor Verwendung: </w:t>
      </w:r>
      <w:r>
        <w:t>Eine Erklärung „Ich war noch nie hier beschäftigt“ ersetzt keine Arbeitgeberprüfung. Sonderregeln für ältere Beschäftigte oder Neugründungen müssen tatsächlich einschlägig sein.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 vor Beginn formwirksam vereinbaren; Regelfall und Ausnahmen trennen.</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sachgrundlose Befristung</w:t>
      </w:r>
    </w:p>
    <w:p>
      <w:r>
        <w:t>Die Beschäftigung beginnt am [BEGINN] und endet am [ENDE]. Die Parteien beabsichtigen eine sachgrundlose Befristung nach [KONKRET EINSCHLÄGIGE VORSCHRIFT]. Vorbeschäftigungen und zulässige Gesamtdauer werden vor Abschluss geprüft und in Anlage 1 dokumentiert.</w:t>
      </w:r>
    </w:p>
    <w:p>
      <w:pPr>
        <w:pStyle w:val="Heading2"/>
      </w:pPr>
      <w:r>
        <w:t>3. Ordentliche Kündigung</w:t>
      </w:r>
    </w:p>
    <w:p>
      <w:r>
        <w:t>Die Parteien lassen die ordentliche Kündigung während der Laufzeit ausdrücklich zu. Die einschlägigen gesetzlichen Fristen und zwingenden Schutzvorschriften bleiben maßgeblich.</w:t>
      </w:r>
    </w:p>
    <w:p>
      <w:pPr>
        <w:pStyle w:val="Heading2"/>
      </w:pPr>
      <w:r>
        <w:t>4. Verlängerungsverwaltung</w:t>
      </w:r>
    </w:p>
    <w:p>
      <w:r>
        <w:t>Eine spätere Verlängerung bedarf einer eigenständigen rechtlichen Prüfung und eines rechtzeitigen formwirksamen Abschlusses. Dieser Vertrag enthält keine automatische Verlängerung.</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 41 SGB VI – Altersrente und Beendigung des Arbeitsverhältnisses</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sachgrundlos-befristet/"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sgb_6/__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Sachgrundlos befristeter 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