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mit Probezeit</w:t>
      </w:r>
    </w:p>
    <w:p>
      <w:pPr>
        <w:pStyle w:val="Subtitle"/>
      </w:pPr>
      <w:r>
        <w:t>Arbeitsvertragsmuster · Informationsstand 14. September 2026</w:t>
      </w:r>
    </w:p>
    <w:p>
      <w:r>
        <w:rPr>
          <w:b/>
        </w:rPr>
        <w:t xml:space="preserve">Vor Verwendung: </w:t>
      </w:r>
      <w:r>
        <w:t>Probezeit, Wartezeit und Befristung nicht verwechseln. Sonderkündigungsschutz und Schriftform können auch innerhalb einer Probezeit wichtig sein.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auf unbestimmte Zeit.</w:t>
      </w:r>
    </w:p>
    <w:p>
      <w:pPr>
        <w:pStyle w:val="Heading2"/>
      </w:pPr>
      <w:r>
        <w:t>3. Probezeit</w:t>
      </w:r>
    </w:p>
    <w:p>
      <w:r>
        <w:t>Die ersten [ANGEMESSENE ANZAHL, HÖCHSTENS SECHS] Monate werden als Probezeit vereinbart. Während dieser wirksam vereinbarten Phase gilt grundsätzlich die gesetzliche Zweiwochenfrist, soweit keine wirksam vorrangige Regelung eingreift.</w:t>
      </w:r>
    </w:p>
    <w:p>
      <w:pPr>
        <w:pStyle w:val="Heading2"/>
      </w:pPr>
      <w:r>
        <w:t>4. Weiterführung</w:t>
      </w:r>
    </w:p>
    <w:p>
      <w:r>
        <w:t>Nach der Probezeit läuft das unbefristete Arbeitsverhältnis ohne erneuten Vertrag weiter. Für Kündigungen gelten anschließend die einschlägigen Fristen. Zwingender Sonderkündigungsschutz bleibt unberührt.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622 BGB – Kündigungsfristen bei Arbeitsverhältnissen</w:t>
        </w:r>
      </w:hyperlink>
      <w:r>
        <w:rPr>
          <w:sz w:val="18"/>
        </w:rPr>
        <w:t xml:space="preserve">  ·  </w:t>
      </w:r>
      <w:hyperlink r:id="rId13">
        <w:r>
          <w:rPr>
            <w:color w:val="166B63"/>
            <w:sz w:val="18"/>
          </w:rPr>
          <w:t>KSchG – Kündigungsschutz und Klagefristen</w:t>
        </w:r>
      </w:hyperlink>
      <w:r>
        <w:rPr>
          <w:sz w:val="18"/>
        </w:rPr>
        <w:t xml:space="preserve">  ·  </w:t>
      </w:r>
      <w:hyperlink r:id="rId14">
        <w:r>
          <w:rPr>
            <w:color w:val="166B63"/>
            <w:sz w:val="18"/>
          </w:rPr>
          <w:t>§ 623 BGB – Schriftform und Ausschluss der elektronischen Form</w:t>
        </w:r>
      </w:hyperlink>
      <w:r>
        <w:rPr>
          <w:sz w:val="18"/>
        </w:rPr>
        <w:t xml:space="preserve">  ·  </w:t>
      </w:r>
      <w:hyperlink r:id="rId15">
        <w:r>
          <w:rPr>
            <w:color w:val="166B63"/>
            <w:sz w:val="18"/>
          </w:rPr>
          <w:t>TzBfG – Teilzeit, Abrufarbeit, Arbeitsplatzteilung und Befristung</w:t>
        </w:r>
      </w:hyperlink>
      <w:r>
        <w:rPr>
          <w:sz w:val="18"/>
        </w:rPr>
        <w:t xml:space="preserve">  ·  </w:t>
      </w:r>
      <w:hyperlink r:id="rId16">
        <w:r>
          <w:rPr>
            <w:color w:val="166B63"/>
            <w:sz w:val="18"/>
          </w:rPr>
          <w:t>§ 20 BBiG – Probezeit in der Berufsausbildung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probezeit/" TargetMode="External"/><Relationship Id="rId12" Type="http://schemas.openxmlformats.org/officeDocument/2006/relationships/hyperlink" Target="https://www.gesetze-im-internet.de/bgb/__622.html" TargetMode="External"/><Relationship Id="rId13" Type="http://schemas.openxmlformats.org/officeDocument/2006/relationships/hyperlink" Target="https://www.gesetze-im-internet.de/kschg/" TargetMode="External"/><Relationship Id="rId14" Type="http://schemas.openxmlformats.org/officeDocument/2006/relationships/hyperlink" Target="https://www.gesetze-im-internet.de/bgb/__623.html" TargetMode="External"/><Relationship Id="rId15" Type="http://schemas.openxmlformats.org/officeDocument/2006/relationships/hyperlink" Target="https://www.gesetze-im-internet.de/tzbfg/BJNR196610000.html" TargetMode="External"/><Relationship Id="rId16" Type="http://schemas.openxmlformats.org/officeDocument/2006/relationships/hyperlink" Target="https://www.gesetze-im-internet.de/bbig_2005/__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mit Probezeit</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