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Vereinbarung über mobiles Arbeiten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„Arbeiten von überall“ ist eine weitreichende Zusage. Ohne länderspezifische Prüfung sollte die Vorlage keine pauschale Auslandsfreigabe enthalten.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Geltungsbereich</w:t>
      </w:r>
    </w:p>
    <w:p>
      <w:r>
        <w:t>Ergänzt wird der Arbeitsvertrag vom [DATUM]. Mobiles Arbeiten ist im Umfang von [UMFANG] an geeigneten Orten innerhalb Deutschlands gestattet. Auslandstätigkeit ist nicht eingeschlossen.</w:t>
      </w:r>
    </w:p>
    <w:p>
      <w:pPr>
        <w:pStyle w:val="Heading2"/>
      </w:pPr>
      <w:r>
        <w:t>3. Abstimmung und Erreichbarkeit</w:t>
      </w:r>
    </w:p>
    <w:p>
      <w:r>
        <w:t>Die Arbeitstage werden nach [VERFAHREN] abgestimmt. Erreichbarkeit: [ZEITRAHMEN]. Arbeitszeit und Ruhepausen werden mit [SYSTEM] dokumentiert; ständige Erreichbarkeit außerhalb der Arbeitszeit wird nicht verlangt.</w:t>
      </w:r>
    </w:p>
    <w:p>
      <w:pPr>
        <w:pStyle w:val="Heading2"/>
      </w:pPr>
      <w:r>
        <w:t>4. Sicherheitsregeln</w:t>
      </w:r>
    </w:p>
    <w:p>
      <w:r>
        <w:t>Es werden nur freigegebene Geräte, sichere Verbindungen und geeignete Arbeitsumgebungen genutzt. Vertrauliche Gespräche und Daten dürfen Dritten nicht zugänglich werden. Sicherheitsvorfälle sind an [KONTAKT] zu melden.</w:t>
      </w:r>
    </w:p>
    <w:p>
      <w:pPr>
        <w:pStyle w:val="Heading2"/>
      </w:pPr>
      <w:r>
        <w:t>5. Änderungen</w:t>
      </w:r>
    </w:p>
    <w:p>
      <w:r>
        <w:t>Bei ungeeignetem Arbeitsort oder betrieblichen Erfordernissen wird eine angemessene Lösung abgestimmt. Eine generelle Verlagerung der Arbeitgeberverantwortung auf die beschäftigte Person erfolgt nicht.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ArbSchG – Gefährdungsbeurteilung und Unterweisung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DSGVO – insbesondere Art. 5, 6, 7, 13, 17, 28, 32 und 44 ff.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26 BDSG – Datenverarbeitung im Beschäftigungsverhältnis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ArbZG – Höchstarbeitszeit, Pausen und Ruhezeit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7">
        <w:r>
          <w:rPr>
            <w:color w:val="166B63"/>
            <w:sz w:val="18"/>
          </w:rPr>
          <w:t>Rom-I-Verordnung, Art. 8 – Arbeitsverträge mit Auslandsbezug</w:t>
        </w:r>
      </w:hyperlink>
      <w:r>
        <w:rPr>
          <w:sz w:val="18"/>
        </w:rPr>
        <w:t xml:space="preserve">  ·  </w:t>
      </w:r>
      <w:hyperlink r:id="rId18">
        <w:r>
          <w:rPr>
            <w:color w:val="166B63"/>
            <w:sz w:val="18"/>
          </w:rPr>
          <w:t>§ 7 SGB IV – Beschäftigung</w:t>
        </w:r>
      </w:hyperlink>
      <w:r>
        <w:rPr>
          <w:sz w:val="18"/>
        </w:rPr>
        <w:t xml:space="preserve">  ·  </w:t>
      </w:r>
      <w:hyperlink r:id="rId19">
        <w:r>
          <w:rPr>
            <w:color w:val="166B63"/>
            <w:sz w:val="18"/>
          </w:rPr>
          <w:t>§ 2 NachwG – Pflichtangaben, Nachweis und elektronische Übermittlung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mobiles-arbeiten/" TargetMode="External"/><Relationship Id="rId12" Type="http://schemas.openxmlformats.org/officeDocument/2006/relationships/hyperlink" Target="https://www.gesetze-im-internet.de/arbschg/" TargetMode="External"/><Relationship Id="rId13" Type="http://schemas.openxmlformats.org/officeDocument/2006/relationships/hyperlink" Target="https://eur-lex.europa.eu/legal-content/DE/TXT/?uri=CELEX:32016R0679" TargetMode="External"/><Relationship Id="rId14" Type="http://schemas.openxmlformats.org/officeDocument/2006/relationships/hyperlink" Target="https://www.gesetze-im-internet.de/bdsg_2018/__26.html" TargetMode="External"/><Relationship Id="rId15" Type="http://schemas.openxmlformats.org/officeDocument/2006/relationships/hyperlink" Target="https://www.gesetze-im-internet.de/arbzg/" TargetMode="External"/><Relationship Id="rId16" Type="http://schemas.openxmlformats.org/officeDocument/2006/relationships/hyperlink" Target="https://www.gesetze-im-internet.de/bgb/" TargetMode="External"/><Relationship Id="rId17" Type="http://schemas.openxmlformats.org/officeDocument/2006/relationships/hyperlink" Target="https://eur-lex.europa.eu/legal-content/DE/TXT/?uri=CELEX:32008R0593" TargetMode="External"/><Relationship Id="rId18" Type="http://schemas.openxmlformats.org/officeDocument/2006/relationships/hyperlink" Target="https://www.gesetze-im-internet.de/sgb_4/__7.html" TargetMode="External"/><Relationship Id="rId19" Type="http://schemas.openxmlformats.org/officeDocument/2006/relationships/hyperlink" Target="https://www.gesetze-im-internet.de/nachwg/__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Vereinbarung über mobiles Arbeiten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