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Minijob-Arbeitsvertrag</w:t>
      </w:r>
    </w:p>
    <w:p>
      <w:pPr>
        <w:pStyle w:val="Subtitle"/>
      </w:pPr>
      <w:r>
        <w:t>Arbeitsvertragsmuster · Informationsstand 14. September 2026</w:t>
      </w:r>
    </w:p>
    <w:p>
      <w:r>
        <w:rPr>
          <w:b/>
        </w:rPr>
        <w:t xml:space="preserve">Vor Verwendung: </w:t>
      </w:r>
      <w:r>
        <w:t>Ein Minijob ist kein Null-Stunden-Vertrag. Bei Arbeit auf Abruf ohne bestimmte Wochenarbeitszeit kann gesetzlich ein deutlich höherer Stundenumfang als beabsichtigt gelten.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Arbeitsvertrag und Nachweispflichten unterscheiden; bei Befristung rechtzeitige formwirksame Befristungsabrede.</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Laufzeit</w:t>
      </w:r>
    </w:p>
    <w:p>
      <w:r>
        <w:t>Das Arbeitsverhältnis beginnt am [BEGINN] auf unbestimmte Zeit. Die Parteien planen eine geringfügig entlohnte Beschäftigung; die gesetzliche Einordnung richtet sich nach den tatsächlichen Voraussetzungen.</w:t>
      </w:r>
    </w:p>
    <w:p>
      <w:pPr>
        <w:pStyle w:val="Heading2"/>
      </w:pPr>
      <w:r>
        <w:t>3. Arbeitszeit und Entgeltprognose</w:t>
      </w:r>
    </w:p>
    <w:p>
      <w:r>
        <w:t>Vereinbart werden [STUNDEN] feste Wochenstunden an [TAGE]. Der Bruttostundenlohn beträgt [BETRAG]. Die beigefügte Jahresprognose enthält sämtliche vorhersehbaren Entgeltbestandteile. Bei Änderungen werden Stunden und Meldung rechtzeitig überprüft; bereits geleistete Arbeit bleibt zu vergüten.</w:t>
      </w:r>
    </w:p>
    <w:p>
      <w:pPr>
        <w:pStyle w:val="Heading2"/>
      </w:pPr>
      <w:r>
        <w:t>4. Weitere Beschäftigungen</w:t>
      </w:r>
    </w:p>
    <w:p>
      <w:r>
        <w:t>Die beschäftigte Person teilt weitere Beschäftigungen und relevante Änderungen unverzüglich mit. Anträge zur Rentenversicherung werden gesondert nach dem aktuellen Verfahren behandelt. Gesetzliche Rechte auf Urlaub und Entgeltfortzahlung bleiben bestehen.</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 8 SGB IV – Geringfügige und kurzfristige Beschäftigung</w:t>
        </w:r>
      </w:hyperlink>
      <w:r>
        <w:rPr>
          <w:sz w:val="18"/>
        </w:rPr>
        <w:t xml:space="preserve">  ·  </w:t>
      </w:r>
      <w:hyperlink r:id="rId13">
        <w:r>
          <w:rPr>
            <w:color w:val="166B63"/>
            <w:sz w:val="18"/>
          </w:rPr>
          <w:t>Fünfte Mindestlohnanpassungsverordnung – 2026 und 2027</w:t>
        </w:r>
      </w:hyperlink>
      <w:r>
        <w:rPr>
          <w:sz w:val="18"/>
        </w:rPr>
        <w:t xml:space="preserve">  ·  </w:t>
      </w:r>
      <w:hyperlink r:id="rId14">
        <w:r>
          <w:rPr>
            <w:color w:val="166B63"/>
            <w:sz w:val="18"/>
          </w:rPr>
          <w:t>BUrlG – Gesetzlicher Mindesturlaub</w:t>
        </w:r>
      </w:hyperlink>
      <w:r>
        <w:rPr>
          <w:sz w:val="18"/>
        </w:rPr>
        <w:t xml:space="preserve">  ·  </w:t>
      </w:r>
      <w:hyperlink r:id="rId15">
        <w:r>
          <w:rPr>
            <w:color w:val="166B63"/>
            <w:sz w:val="18"/>
          </w:rPr>
          <w:t>EntgFG – Entgeltfortzahlung bei Krankheit und an Feiertagen</w:t>
        </w:r>
      </w:hyperlink>
      <w:r>
        <w:rPr>
          <w:sz w:val="18"/>
        </w:rPr>
        <w:t xml:space="preserve">  ·  </w:t>
      </w:r>
      <w:hyperlink r:id="rId16">
        <w:r>
          <w:rPr>
            <w:color w:val="166B63"/>
            <w:sz w:val="18"/>
          </w:rPr>
          <w:t>§ 7 SGB IV – Beschäftigung</w:t>
        </w:r>
      </w:hyperlink>
      <w:r>
        <w:rPr>
          <w:sz w:val="18"/>
        </w:rPr>
        <w:t xml:space="preserve">  ·  </w:t>
      </w:r>
      <w:hyperlink r:id="rId17">
        <w:r>
          <w:rPr>
            <w:color w:val="166B63"/>
            <w:sz w:val="18"/>
          </w:rPr>
          <w:t>§ 6 SGB VI – Befreiung und Aufhebung der Befreiung von der Rentenversicherungspflicht</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minijob/" TargetMode="External"/><Relationship Id="rId12" Type="http://schemas.openxmlformats.org/officeDocument/2006/relationships/hyperlink" Target="https://www.gesetze-im-internet.de/sgb_4/__8.html" TargetMode="External"/><Relationship Id="rId13" Type="http://schemas.openxmlformats.org/officeDocument/2006/relationships/hyperlink" Target="https://www.gesetze-im-internet.de/milov5/" TargetMode="External"/><Relationship Id="rId14" Type="http://schemas.openxmlformats.org/officeDocument/2006/relationships/hyperlink" Target="https://www.gesetze-im-internet.de/burlg/BJNR000020963.html" TargetMode="External"/><Relationship Id="rId15" Type="http://schemas.openxmlformats.org/officeDocument/2006/relationships/hyperlink" Target="https://www.gesetze-im-internet.de/entgfg/BJNR106500994.html" TargetMode="External"/><Relationship Id="rId16" Type="http://schemas.openxmlformats.org/officeDocument/2006/relationships/hyperlink" Target="https://www.gesetze-im-internet.de/sgb_4/__7.html" TargetMode="External"/><Relationship Id="rId17" Type="http://schemas.openxmlformats.org/officeDocument/2006/relationships/hyperlink" Target="https://www.gesetze-im-internet.de/sgb_6/__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Minijob-Arbeitsvertrag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