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Midijob-Arbeitsvertrag</w:t>
      </w:r>
    </w:p>
    <w:p>
      <w:pPr>
        <w:pStyle w:val="Subtitle"/>
      </w:pPr>
      <w:r>
        <w:t>Arbeitsvertragsmuster · Informationsstand 14. September 2026</w:t>
      </w:r>
    </w:p>
    <w:p>
      <w:r>
        <w:rPr>
          <w:b/>
        </w:rPr>
        <w:t xml:space="preserve">Vor Verwendung: </w:t>
      </w:r>
      <w:r>
        <w:t>Ein Midijob ist kein „größerer Minijob ohne Sozialversicherung“. Die Lohnabrechnung muss die aktuelle Beitragssystematik und die konkrete Personengruppe berücksichtigen.</w:t>
      </w:r>
    </w:p>
    <w:p>
      <w:pPr>
        <w:pStyle w:val="Subtitle"/>
      </w:pPr>
      <w:r>
        <w:t>Redaktioneller Entwurf, nicht anwaltlich geprüft. Alle Platzhalter, Alternativen und erforderlichen Anlagen müssen vor Verwendung vollständig und widerspruchsfrei bearbeitet werden. Keine individuelle Rechtsberatung und keine automatische rechtliche Freigabe.</w:t>
      </w:r>
    </w:p>
    <w:p>
      <w:pPr>
        <w:pStyle w:val="Subtitle"/>
      </w:pPr>
      <w:r>
        <w:t>Form: Arbeitsvertrag und Nachweispflichten unterscheiden; bei Befristung rechtzeitige formwirksame Befristungsabrede.</w:t>
      </w:r>
    </w:p>
    <w:p>
      <w:pPr>
        <w:pStyle w:val="Heading2"/>
      </w:pPr>
      <w:r>
        <w:t>1. Vertragsparteien</w:t>
      </w:r>
    </w:p>
    <w:p>
      <w:r>
        <w:t>Arbeitgeber: [VOLLSTÄNDIGE FIRMA / NAME, ANSCHRIFT, VERTRETUNG]. Beschäftigte Person: [NAME, ANSCHRIFT]. Beide Parteien erhalten eine Ausfertigung der vollständig ausgefüllten Vereinbarung.</w:t>
      </w:r>
    </w:p>
    <w:p>
      <w:pPr>
        <w:pStyle w:val="Heading2"/>
      </w:pPr>
      <w:r>
        <w:t>2. Beginn und Laufzeit</w:t>
      </w:r>
    </w:p>
    <w:p>
      <w:r>
        <w:t>Die Beschäftigung beginnt am [BEGINN] und wird auf unbestimmte Zeit vereinbart.</w:t>
      </w:r>
    </w:p>
    <w:p>
      <w:pPr>
        <w:pStyle w:val="Heading2"/>
      </w:pPr>
      <w:r>
        <w:t>3. Umfang und Bruttoentgelt</w:t>
      </w:r>
    </w:p>
    <w:p>
      <w:r>
        <w:t>Vereinbart werden [STUNDEN] Wochenstunden und ein Bruttoentgelt von [BETRAG] pro Monat. Die Lage der Arbeitszeit ergibt sich aus [VERTEILUNG]. Eine bestimmte Nettosumme wird nicht zugesagt.</w:t>
      </w:r>
    </w:p>
    <w:p>
      <w:pPr>
        <w:pStyle w:val="Heading2"/>
      </w:pPr>
      <w:r>
        <w:t>4. Versicherungsrechtliche Prüfung</w:t>
      </w:r>
    </w:p>
    <w:p>
      <w:r>
        <w:t>Der Arbeitgeber beurteilt die Anwendung des Übergangsbereichs nach den aktuellen gesetzlichen Regeln. Die beschäftigte Person informiert über weitere Beschäftigungen und relevante Änderungen. Die arbeitsrechtlichen Vereinbarungen werden durch eine geänderte Beitragsberechnung nicht automatisch aufgehoben.</w:t>
      </w:r>
    </w:p>
    <w:p>
      <w:pPr>
        <w:pStyle w:val="Heading2"/>
      </w:pPr>
      <w:r>
        <w:t>5. Tätigkeit und Arbeitsort</w:t>
      </w:r>
    </w:p>
    <w:p>
      <w:r>
        <w:t>Konkret vereinbarte Tätigkeit und Aufgaben: [BESCHREIBUNG]. Arbeitsort beziehungsweise ausdrücklich vereinbarte Einsatzorte: [ANGABEN]. Diese Angaben sind mit den vorstehenden besonderen Regelungen widerspruchsfrei auszufüllen; sie erweitern den Einsatzrahmen nicht pauschal.</w:t>
      </w:r>
    </w:p>
    <w:p>
      <w:pPr>
        <w:pStyle w:val="Heading2"/>
      </w:pPr>
      <w:r>
        <w:t>6. Arbeitszeit und Pausen</w:t>
      </w:r>
    </w:p>
    <w:p>
      <w:r>
        <w:t>Regelmäßige Wochenarbeitszeit: [STUNDEN]. Verteilung auf Arbeitstage und Zeiten: [ANGABEN]. Vereinbarte Pausen, Ruhezeiten und gegebenenfalls Schichtsystem, Schichtrhythmus und Voraussetzungen für Schichtänderungen: [ANGABEN ODER KEIN SCHICHTSYSTEM]. Besondere Arbeitszeitregeln dieser Vorlage bleiben maßgeblich. Gesetzliche Grenzen, bei Minderjährigen insbesondere das JArbSchG, sind einzuhalten. Die tatsächlich geleistete Arbeitszeit wird nach dem vorgesehenen Verfahren erfasst.</w:t>
      </w:r>
    </w:p>
    <w:p>
      <w:pPr>
        <w:pStyle w:val="Heading2"/>
      </w:pPr>
      <w:r>
        <w:t>7. Vergütung und Mehrarbeit</w:t>
      </w:r>
    </w:p>
    <w:p>
      <w:r>
        <w:t>Grundvergütung: [BETRAG] EUR brutto je [STUNDE / MONAT; GENAU EINE EINHEIT WÄHLEN]. Zusammensetzung weiterer Entgeltbestandteile, Zuschläge, Zulagen, Prämien und Sonderzahlungen: [JEWEILS BETRAG / KLARE BERECHNUNG ODER AUSDRÜCKLICH KEINE]. Fälligkeit: [DATUM / REGEL]. Zahlungsart: [ANGABE]. Rechtmäßig angeordnete oder genehmigte Mehrarbeit wird [KONKRETE BEZAHLUNG ODER ZEITAUSGLEICH MIT FRIST] ausgeglichen; Voraussetzungen für eine Anordnung: [KONKRET]. Keine unbegrenzte pauschale Abgeltung. Zwingende Mindest- und Gleichstellungsansprüche bleiben unberührt.</w:t>
      </w:r>
    </w:p>
    <w:p>
      <w:pPr>
        <w:pStyle w:val="Heading2"/>
      </w:pPr>
      <w:r>
        <w:t>8. Erholungsurlaub</w:t>
      </w:r>
    </w:p>
    <w:p>
      <w:r>
        <w:t>Der vereinbarte Jahresurlaub beträgt [TAGE] Arbeitstage bei regelmäßig [ARBEITSTAGEN] pro Woche. Er darf den einschlägigen gesetzlichen Mindesturlaub, gegebenenfalls einschließlich besonderer Schutzvorschriften, nicht unterschreiten. Bei Veränderungen der Arbeitstage ist eine rechtmäßige Umrechnung vorzunehmen. Beantragung und Abstimmung: [VERFAHREN]. Gesetzliche Urlaubsrechte werden nicht pauschal ausgeschlossen.</w:t>
      </w:r>
    </w:p>
    <w:p>
      <w:pPr>
        <w:pStyle w:val="Heading2"/>
      </w:pPr>
      <w:r>
        <w:t>9. Arbeitsunfähigkeit und sonstige Verhinderung</w:t>
      </w:r>
    </w:p>
    <w:p>
      <w:r>
        <w:t>Arbeitsunfähigkeit und voraussichtliche Dauer sind unverzüglich mitzuteilen. Nachweis und Abruf elektronischer Arbeitsunfähigkeitsdaten richten sich nach geltendem Recht; soweit das elektronische Verfahren nicht greift, sind erforderliche Nachweise vorzulegen. Die gesetzlichen Voraussetzungen und Grenzen der Entgeltfortzahlung, einschließlich einer etwaigen Wartezeit, bleiben maßgeblich.</w:t>
      </w:r>
    </w:p>
    <w:p>
      <w:pPr>
        <w:pStyle w:val="Heading2"/>
      </w:pPr>
      <w:r>
        <w:t>10. Weitere Arbeitsbedingungen</w:t>
      </w:r>
    </w:p>
    <w:p>
      <w:r>
        <w:t>Anwendbare Tarifverträge, Betriebs- oder Dienstvereinbarungen mit genauer Bezeichnung: [ANGABEN ODER KEINE]. Etwaiger Anspruch auf vom Arbeitgeber bereitgestellte Fortbildung: [ANGABEN ODER KEIN ZUSÄTZLICHER VERTRAGLICHER ANSPRUCH]. Bei zugesagter betrieblicher Altersversorgung: Versorgungsträger mit Namen und Anschrift [ANGABEN ODER KEINE ZUSAGE; GESETZLICHE RECHTE BLEIBEN UNBERÜHRT].</w:t>
      </w:r>
    </w:p>
    <w:p>
      <w:pPr>
        <w:pStyle w:val="Heading2"/>
      </w:pPr>
      <w:r>
        <w:t>11. Beendigung und Rechtsschutz</w:t>
      </w:r>
    </w:p>
    <w:p>
      <w:r>
        <w:t>Für eine zulässige ordentliche Kündigung gelten die einschlägigen gesetzlichen Fristen, soweit keine wirksam vorrangige Regelung vereinbart oder anwendbar ist. Die besonderen Laufzeit- und Kündbarkeitsregelungen dieser Vorlage gehen innerhalb des gesetzlichen Rahmens vor. Kündigungen und arbeitsrechtliche Aufhebungsverträge bedürfen der Schriftform; die elektronische Form ist ausgeschlossen. Wer eine Arbeitgeberkündigung gerichtlich angreifen will, muss grundsätzlich innerhalb von drei Wochen nach Zugang Klage erheben. Bei Befristungen sind insbesondere die gesonderten Klagefristen des TzBfG zu beachten. Zwingende Schutzrechte bleiben bestehen.</w:t>
      </w:r>
    </w:p>
    <w:p>
      <w:pPr>
        <w:pStyle w:val="Heading2"/>
      </w:pPr>
      <w:r>
        <w:t>12. Abschluss und Anlagen</w:t>
      </w:r>
    </w:p>
    <w:p>
      <w:r>
        <w:t>Alle Platzhalter und erforderlichen Anlagen werden vor Verwendung vollständig und widerspruchsfrei ausgefüllt. Anlagen: [LISTE]. Eine Befristung ist vor Arbeitsaufnahme formwirksam zu vereinbaren; keine Rückdatierung. [ORT, DATUM, UNTERSCHRIFTEN DER VERTRAGSPARTEIEN IN DER ERFORDERLICHEN FORM].</w:t>
      </w:r>
    </w:p>
    <w:p>
      <w:pPr>
        <w:pStyle w:val="Heading1"/>
      </w:pPr>
      <w:r>
        <w:t>Hinweise und Quellen – nicht Teil der Erklärung</w:t>
      </w:r>
    </w:p>
    <w:p>
      <w:pPr>
        <w:pStyle w:val="Subtitle"/>
        <w:keepNext/>
      </w:pPr>
      <w:r>
        <w:t>Redaktionelle Hintergrundinformationen. Kein Vertrag mit CALUMA durch den Download. Die individuelle Endfassung kann zusätzliche zwingende Angaben und weitere fachliche Prüfung benötigen.</w:t>
      </w:r>
    </w:p>
    <w:p>
      <w:pPr>
        <w:keepNext/>
        <w:spacing w:line="252" w:lineRule="auto" w:after="60"/>
      </w:pPr>
      <w:hyperlink r:id="rId11">
        <w:r>
          <w:rPr>
            <w:color w:val="166B63"/>
            <w:sz w:val="18"/>
          </w:rPr>
          <w:t>Erklärung, Anwendungsfall und Prüfpunkte bei CALUMA</w:t>
        </w:r>
      </w:hyperlink>
    </w:p>
    <w:p>
      <w:pPr>
        <w:keepLines/>
        <w:spacing w:line="252" w:lineRule="auto" w:after="60"/>
      </w:pPr>
      <w:hyperlink r:id="rId12">
        <w:r>
          <w:rPr>
            <w:color w:val="166B63"/>
            <w:sz w:val="18"/>
          </w:rPr>
          <w:t>§ 20 SGB IV – Übergangsbereich</w:t>
        </w:r>
      </w:hyperlink>
      <w:r>
        <w:rPr>
          <w:sz w:val="18"/>
        </w:rPr>
        <w:t xml:space="preserve">  ·  </w:t>
      </w:r>
      <w:hyperlink r:id="rId13">
        <w:r>
          <w:rPr>
            <w:color w:val="166B63"/>
            <w:sz w:val="18"/>
          </w:rPr>
          <w:t>§ 8 SGB IV – Geringfügige und kurzfristige Beschäftigung</w:t>
        </w:r>
      </w:hyperlink>
      <w:r>
        <w:rPr>
          <w:sz w:val="18"/>
        </w:rPr>
        <w:t xml:space="preserve">  ·  </w:t>
      </w:r>
      <w:hyperlink r:id="rId14">
        <w:r>
          <w:rPr>
            <w:color w:val="166B63"/>
            <w:sz w:val="18"/>
          </w:rPr>
          <w:t>BGB – Vertragsschluss, Dienstvertrag, Arbeitsvertrag und AGB-Kontrolle</w:t>
        </w:r>
      </w:hyperlink>
      <w:r>
        <w:rPr>
          <w:sz w:val="18"/>
        </w:rPr>
        <w:t xml:space="preserve">  ·  </w:t>
      </w:r>
      <w:hyperlink r:id="rId15">
        <w:r>
          <w:rPr>
            <w:color w:val="166B63"/>
            <w:sz w:val="18"/>
          </w:rPr>
          <w:t>BUrlG – Gesetzlicher Mindesturlaub</w:t>
        </w:r>
      </w:hyperlink>
      <w:r>
        <w:rPr>
          <w:sz w:val="18"/>
        </w:rPr>
        <w:t xml:space="preserve">  ·  </w:t>
      </w:r>
      <w:hyperlink r:id="rId16">
        <w:r>
          <w:rPr>
            <w:color w:val="166B63"/>
            <w:sz w:val="18"/>
          </w:rPr>
          <w:t>EntgFG – Entgeltfortzahlung bei Krankheit und an Feiertagen</w:t>
        </w:r>
      </w:hyperlink>
      <w:r>
        <w:rPr>
          <w:sz w:val="18"/>
        </w:rPr>
        <w:t xml:space="preserve">  ·  </w:t>
      </w:r>
      <w:hyperlink r:id="rId17">
        <w:r>
          <w:rPr>
            <w:color w:val="166B63"/>
            <w:sz w:val="18"/>
          </w:rPr>
          <w:t>TzBfG – Teilzeit, Abrufarbeit, Arbeitsplatzteilung und Befristung</w:t>
        </w:r>
      </w:hyperlink>
    </w:p>
    <w:sectPr w:rsidR="00FC693F" w:rsidRPr="0006063C" w:rsidSect="00034616">
      <w:headerReference w:type="default" r:id="rId9"/>
      <w:footerReference w:type="default" r:id="rId10"/>
      <w:pgSz w:w="11906" w:h="16838"/>
      <w:pgMar w:top="1134" w:right="1191" w:bottom="1020" w:left="1191"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pPr>
    <w:r>
      <w:rPr>
        <w:color w:val="506661"/>
        <w:sz w:val="16"/>
      </w:rPr>
      <w:t>Muster · keine anwaltliche Prüfung · 09/2026</w:t>
    </w:r>
    <w:r>
      <w:rPr>
        <w:sz w:val="16"/>
      </w:rPr>
      <w:t xml:space="preserve">    Seite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166B63"/>
        <w:sz w:val="18"/>
      </w:rPr>
      <w:t>CALUMA  /  VERTRAGSBIBLIOTHEK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themeFontLang w:val="de-DE"/>
  <w:autoHyphenation w: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9" w:lineRule="auto" w:after="120"/>
    </w:pPr>
    <w:rPr>
      <w:rFonts w:ascii="Arial" w:hAnsi="Arial" w:eastAsia="Arial"/>
      <w:b w:val="0"/>
      <w:i w:val="0"/>
      <w:color w:val="102321"/>
      <w:sz w:val="21"/>
      <w:lang w:val="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rial" w:hAnsi="Arial" w:eastAsia="Arial"/>
      <w:b/>
      <w:bCs/>
      <w:i w:val="0"/>
      <w:color w:val="166B63"/>
      <w:sz w:val="28"/>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rial" w:hAnsi="Arial" w:eastAsia="Arial"/>
      <w:b/>
      <w:bCs/>
      <w:i w:val="0"/>
      <w:color w:val="166B63"/>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166B63"/>
      </w:pBdr>
      <w:spacing w:after="240" w:line="240" w:lineRule="auto"/>
      <w:contextualSpacing/>
    </w:pPr>
    <w:rPr>
      <w:rFonts w:asciiTheme="majorHAnsi" w:eastAsiaTheme="majorEastAsia" w:hAnsiTheme="majorHAnsi" w:cstheme="majorBidi" w:ascii="Arial" w:hAnsi="Arial" w:eastAsia="Arial"/>
      <w:b/>
      <w:i w:val="0"/>
      <w:color w:val="102321"/>
      <w:spacing w:val="0"/>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80"/>
    </w:pPr>
    <w:rPr>
      <w:rFonts w:asciiTheme="majorHAnsi" w:eastAsiaTheme="majorEastAsia" w:hAnsiTheme="majorHAnsi" w:cstheme="majorBidi" w:ascii="Arial" w:hAnsi="Arial" w:eastAsia="Arial"/>
      <w:b w:val="0"/>
      <w:i w:val="0"/>
      <w:iCs/>
      <w:color w:val="506661"/>
      <w:spacing w:val="0"/>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caluma.jobs/arbeitsvertraege/midijob/" TargetMode="External"/><Relationship Id="rId12" Type="http://schemas.openxmlformats.org/officeDocument/2006/relationships/hyperlink" Target="https://www.gesetze-im-internet.de/sgb_4/__20.html" TargetMode="External"/><Relationship Id="rId13" Type="http://schemas.openxmlformats.org/officeDocument/2006/relationships/hyperlink" Target="https://www.gesetze-im-internet.de/sgb_4/__8.html" TargetMode="External"/><Relationship Id="rId14" Type="http://schemas.openxmlformats.org/officeDocument/2006/relationships/hyperlink" Target="https://www.gesetze-im-internet.de/bgb/" TargetMode="External"/><Relationship Id="rId15" Type="http://schemas.openxmlformats.org/officeDocument/2006/relationships/hyperlink" Target="https://www.gesetze-im-internet.de/burlg/BJNR000020963.html" TargetMode="External"/><Relationship Id="rId16" Type="http://schemas.openxmlformats.org/officeDocument/2006/relationships/hyperlink" Target="https://www.gesetze-im-internet.de/entgfg/BJNR106500994.html" TargetMode="External"/><Relationship Id="rId17" Type="http://schemas.openxmlformats.org/officeDocument/2006/relationships/hyperlink" Target="https://www.gesetze-im-internet.de/tzbfg/BJNR19661000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Midijob-Arbeitsvertrag</dc:title>
  <dc:subject>Arbeitsvertragsmuster</dc:subject>
  <dc:creator>CALUMA</dc:creator>
  <cp:keywords>Muster, Deutschland, Vertragsbibliothek</cp:keywords>
  <dc:description/>
  <cp:lastModifiedBy>CALUMA</cp:lastModifiedBy>
  <cp:revision>1</cp:revision>
  <dcterms:created xsi:type="dcterms:W3CDTF">2013-12-23T23:15:00Z</dcterms:created>
  <dcterms:modified xsi:type="dcterms:W3CDTF">2013-12-23T23:15:00Z</dcterms:modified>
  <cp:category/>
</cp:coreProperties>
</file>