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Vertrag für kurzfristige Beschäftigung</w:t>
      </w:r>
    </w:p>
    <w:p>
      <w:pPr>
        <w:pStyle w:val="Subtitle"/>
      </w:pPr>
      <w:r>
        <w:t>Arbeitsvertragsmuster · Informationsstand 14. September 2026</w:t>
      </w:r>
    </w:p>
    <w:p>
      <w:r>
        <w:rPr>
          <w:b/>
        </w:rPr>
        <w:t xml:space="preserve">Vor Verwendung: </w:t>
      </w:r>
      <w:r>
        <w:t>70 Tage sind keine universelle Freigrenze für jede Person und jede Branche. Ein Fragebogen hilft bei der Prüfung, ersetzt sie aber nicht.</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Befristungsabrede formgerecht vor dem ersten Einsatztag.</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arbeitsrechtliche Befristung</w:t>
      </w:r>
    </w:p>
    <w:p>
      <w:r>
        <w:t>Das Arbeitsverhältnis beginnt am [BEGINN] und endet am [ENDE]. Die arbeitsrechtliche Befristung stützt sich auf [GEPRÜFTE GRUNDLAGE].</w:t>
      </w:r>
    </w:p>
    <w:p>
      <w:pPr>
        <w:pStyle w:val="Heading2"/>
      </w:pPr>
      <w:r>
        <w:t>3. Einsatztage und Vergütung</w:t>
      </w:r>
    </w:p>
    <w:p>
      <w:r>
        <w:t>Geplant sind [ANZAHL] Arbeitstage nach Anlage 1 zu [BETRAG] Euro brutto je Stunde. Die Arbeitszeit und gesetzliche Ruhezeiten werden erfasst und eingehalten.</w:t>
      </w:r>
    </w:p>
    <w:p>
      <w:pPr>
        <w:pStyle w:val="Heading2"/>
      </w:pPr>
      <w:r>
        <w:t>4. Statusunterlagen</w:t>
      </w:r>
    </w:p>
    <w:p>
      <w:r>
        <w:t>Vor Beschäftigungsbeginn wird ein aktueller Fragebogen zu anderen Beschäftigungen, Vorzeiten und beruflichem Status ausgefüllt. Die versicherungsrechtliche Einordnung erfolgt durch den Arbeitgeber nach dem geltenden Recht. Eine abweichende Beurteilung beseitigt den Vergütungsanspruch nicht.</w:t>
      </w:r>
    </w:p>
    <w:p>
      <w:pPr>
        <w:pStyle w:val="Heading2"/>
      </w:pPr>
      <w:r>
        <w:t>5. Vorzeitige Beendigung</w:t>
      </w:r>
    </w:p>
    <w:p>
      <w:r>
        <w:t>Die ordentliche Kündigung während der Laufzeit wird ausdrücklich zugelassen; die einschlägigen gesetzlichen Fristen gelten.</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8 SGB IV – Geringfügige und kurzfristige Beschäftigung</w:t>
        </w:r>
      </w:hyperlink>
      <w:r>
        <w:rPr>
          <w:sz w:val="18"/>
        </w:rPr>
        <w:t xml:space="preserve">  ·  </w:t>
      </w:r>
      <w:hyperlink r:id="rId13">
        <w:r>
          <w:rPr>
            <w:color w:val="166B63"/>
            <w:sz w:val="18"/>
          </w:rPr>
          <w:t>Minijob-Zentrale – Kurzfristige Beschäftigung einschließlich landwirtschaftlicher Sonderregel</w:t>
        </w:r>
      </w:hyperlink>
      <w:r>
        <w:rPr>
          <w:sz w:val="18"/>
        </w:rPr>
        <w:t xml:space="preserve">  ·  </w:t>
      </w:r>
      <w:hyperlink r:id="rId14">
        <w:r>
          <w:rPr>
            <w:color w:val="166B63"/>
            <w:sz w:val="18"/>
          </w:rPr>
          <w:t>TzBfG – Teilzeit, Abrufarbeit, Arbeitsplatzteilung und Befristung</w:t>
        </w:r>
      </w:hyperlink>
      <w:r>
        <w:rPr>
          <w:sz w:val="18"/>
        </w:rPr>
        <w:t xml:space="preserve">  ·  </w:t>
      </w:r>
      <w:hyperlink r:id="rId15">
        <w:r>
          <w:rPr>
            <w:color w:val="166B63"/>
            <w:sz w:val="18"/>
          </w:rPr>
          <w:t>BUrlG – Gesetzlicher Mindesturlaub</w:t>
        </w:r>
      </w:hyperlink>
      <w:r>
        <w:rPr>
          <w:sz w:val="18"/>
        </w:rPr>
        <w:t xml:space="preserve">  ·  </w:t>
      </w:r>
      <w:hyperlink r:id="rId16">
        <w:r>
          <w:rPr>
            <w:color w:val="166B63"/>
            <w:sz w:val="18"/>
          </w:rPr>
          <w:t>EntgFG – Entgeltfortzahlung bei Krankheit und an Feiertagen</w:t>
        </w:r>
      </w:hyperlink>
      <w:r>
        <w:rPr>
          <w:sz w:val="18"/>
        </w:rPr>
        <w:t xml:space="preserve">  ·  </w:t>
      </w:r>
      <w:hyperlink r:id="rId17">
        <w:r>
          <w:rPr>
            <w:color w:val="166B63"/>
            <w:sz w:val="18"/>
          </w:rPr>
          <w:t>MiLoG – Mindestlohn und persönlicher Anwendungsbereich</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kurzfristige-beschaeftigung/" TargetMode="External"/><Relationship Id="rId12" Type="http://schemas.openxmlformats.org/officeDocument/2006/relationships/hyperlink" Target="https://www.gesetze-im-internet.de/sgb_4/__8.html" TargetMode="External"/><Relationship Id="rId13" Type="http://schemas.openxmlformats.org/officeDocument/2006/relationships/hyperlink" Target="https://www.minijob-zentrale.de/DE/die-minijobs/kurzfristige-beschaeftigung" TargetMode="External"/><Relationship Id="rId14" Type="http://schemas.openxmlformats.org/officeDocument/2006/relationships/hyperlink" Target="https://www.gesetze-im-internet.de/tzbfg/BJNR196610000.html" TargetMode="External"/><Relationship Id="rId15" Type="http://schemas.openxmlformats.org/officeDocument/2006/relationships/hyperlink" Target="https://www.gesetze-im-internet.de/burlg/BJNR000020963.html" TargetMode="External"/><Relationship Id="rId16" Type="http://schemas.openxmlformats.org/officeDocument/2006/relationships/hyperlink" Target="https://www.gesetze-im-internet.de/entgfg/BJNR106500994.html" TargetMode="External"/><Relationship Id="rId17" Type="http://schemas.openxmlformats.org/officeDocument/2006/relationships/hyperlink" Target="https://www.gesetze-im-internet.de/mi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für kurzfristige Beschäftigung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