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Influencer- und Content-Creator-Vertrag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B2B-Grundmuster für volljährige Creator. Keine Garantie bestimmter Aufrufe oder Verkäufe; regulierte Produkte, Minderjährige und besondere Plattformwerbeformen erfordern zusätzliche Prüfung.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Vertrag und gegebenenfalls einzelne formbedürftige Bestandteile vor Abschluss prüfen und dokumentieren.</w:t>
      </w:r>
    </w:p>
    <w:p>
      <w:pPr>
        <w:pStyle w:val="Heading2"/>
      </w:pPr>
      <w:r>
        <w:t>1. Parteien und Kampagne</w:t>
      </w:r>
    </w:p>
    <w:p>
      <w:r>
        <w:t>Auftraggeber [UNTERNEHMEN] und Creator [UNTERNEHMEN / SELBSTSTÄNDIGE PERSON] vereinbaren die Kampagne [BEZEICHNUNG] für [ZWECK].</w:t>
      </w:r>
    </w:p>
    <w:p>
      <w:pPr>
        <w:pStyle w:val="Heading2"/>
      </w:pPr>
      <w:r>
        <w:t>2. Leistungen</w:t>
      </w:r>
    </w:p>
    <w:p>
      <w:r>
        <w:t>Plattformen [ANGABEN], Formate und Anzahl [ANGABEN], Veröffentlichungsdaten [ANGABEN], vereinbarte Online-Dauer [ANGABEN]. Briefing, Freigabe und Korrekturrunden [KLARER RAHMEN].</w:t>
      </w:r>
    </w:p>
    <w:p>
      <w:pPr>
        <w:pStyle w:val="Heading2"/>
      </w:pPr>
      <w:r>
        <w:t>3. Rechtskonforme Inhalte</w:t>
      </w:r>
    </w:p>
    <w:p>
      <w:r>
        <w:t>Kommerzielle Inhalte werden nach den einschlägigen Anforderungen erkennbar gekennzeichnet. Unzulässige Aussagen, fingierte Erfahrungen und nicht geklärte Drittrechte dürfen nicht verlangt werden. Bei Beanstandungen stimmen sich die Parteien unverzüglich ab.</w:t>
      </w:r>
    </w:p>
    <w:p>
      <w:pPr>
        <w:pStyle w:val="Heading2"/>
      </w:pPr>
      <w:r>
        <w:t>4. Vergütung</w:t>
      </w:r>
    </w:p>
    <w:p>
      <w:r>
        <w:t>Honorar [BETRAG] EUR netto zuzüglich geschuldeter Umsatzsteuer. Sachleistungen und zusätzliche Kosten [ANGABEN]. Fälligkeit [ANGABEN]. Ein bestimmter Reichweiten- oder Verkaufserfolg wird nicht garantiert.</w:t>
      </w:r>
    </w:p>
    <w:p>
      <w:pPr>
        <w:pStyle w:val="Heading2"/>
      </w:pPr>
      <w:r>
        <w:t>5. Nutzungsrechte</w:t>
      </w:r>
    </w:p>
    <w:p>
      <w:r>
        <w:t>Vereinbarte Rechte des Auftraggebers [MEDIEN, ZWECK, GEBIET, DAUER]. Bezahlte Anzeigen, Nutzung des Accounts für Werbung und Unterlizenzierung sind nur bei ausdrücklicher konkreter Vereinbarung enthalten. Rechte an Musik, Bildnissen und Drittmaterial werden vor Nutzung geklärt.</w:t>
      </w:r>
    </w:p>
    <w:p>
      <w:pPr>
        <w:pStyle w:val="Heading2"/>
      </w:pPr>
      <w:r>
        <w:t>6. Auswertung und Ende</w:t>
      </w:r>
    </w:p>
    <w:p>
      <w:r>
        <w:t>Übermittelt werden nur vereinbarte zulässige aggregierte Kennzahlen [ANGABEN]. Bei Terminproblemen, Plattformmaßnahmen oder vorzeitiger Beendigung werden rechtlich geschuldete Vergütung und Übergaben anhand des tatsächlichen Leistungsstands geklärt.</w:t>
      </w:r>
    </w:p>
    <w:p>
      <w:pPr>
        <w:pStyle w:val="Heading2"/>
      </w:pPr>
      <w:r>
        <w:t>7.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UWG – Kennzeichnung kommerzieller Zwecke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31 UrhG – Einräumung von Nutzungsrechten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§§ 22, 23 KUG – Recht am eigenen Bild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reativvertraege/influencer-vertra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uwg_2004/" TargetMode="External"/><Relationship Id="rId14" Type="http://schemas.openxmlformats.org/officeDocument/2006/relationships/hyperlink" Target="https://www.gesetze-im-internet.de/urhg/__31.html" TargetMode="External"/><Relationship Id="rId15" Type="http://schemas.openxmlformats.org/officeDocument/2006/relationships/hyperlink" Target="https://www.gesetze-im-internet.de/kunsturh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Influencer- und Content-Creator-Vertrag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