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Homeoffice-Vereinbarung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Homeoffice ist keine Befreiung vom Arbeitsschutz und kein grenzenloses Zutrittsrecht für den Arbeitgeber. Ein späterer Widerruf der Vereinbarung benötigt eine angemessene, klare Regelung.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Bezug und Arbeitsort</w:t>
      </w:r>
    </w:p>
    <w:p>
      <w:r>
        <w:t>Diese Vereinbarung ergänzt den Arbeitsvertrag vom [DATUM]. Homeoffice ist an der Adresse [ADRESSE] an [TAGE / UMFANG] gestattet. Ein anderer Ort oder Auslandsarbeit bedarf vorheriger gesonderter Vereinbarung.</w:t>
      </w:r>
    </w:p>
    <w:p>
      <w:pPr>
        <w:pStyle w:val="Heading2"/>
      </w:pPr>
      <w:r>
        <w:t>3. Ausstattung und Kosten</w:t>
      </w:r>
    </w:p>
    <w:p>
      <w:r>
        <w:t>Der Arbeitgeber stellt [ARBEITSMITTEL]. Notwendige Kosten werden nach [KONKRETE REGELUNG] übernommen. Schutzmaßnahmen und Unterweisung werden dokumentiert. Ein allgemeines Zutrittsrecht zur Wohnung wird nicht vereinbart.</w:t>
      </w:r>
    </w:p>
    <w:p>
      <w:pPr>
        <w:pStyle w:val="Heading2"/>
      </w:pPr>
      <w:r>
        <w:t>4. Zeit und Datenschutz</w:t>
      </w:r>
    </w:p>
    <w:p>
      <w:r>
        <w:t>Arbeitszeit und Ruhezeiten gelten unverändert. Erreichbarkeit besteht innerhalb [ZEITFENSTER]. Arbeitszeiten werden mit [SYSTEM] erfasst. Geschäftliche Daten werden nur mit freigegebenen Geräten und sicheren Zugängen verarbeitet.</w:t>
      </w:r>
    </w:p>
    <w:p>
      <w:pPr>
        <w:pStyle w:val="Heading2"/>
      </w:pPr>
      <w:r>
        <w:t>5. Rückkehrregel</w:t>
      </w:r>
    </w:p>
    <w:p>
      <w:r>
        <w:t>Eine Änderung des Modells wird mit einer Vorankündigung von [ANGEMESSENE FRIST] besprochen und nur im rechtlich zulässigen Rahmen umgesetzt. Das Arbeitsverhältnis bleibt bestehen.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ArbStättV – Telearbeitsplätze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ArbSchG – Gefährdungsbeurteilung und Unterweisung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26 BDSG – Datenverarbeitung im Beschäftigungsverhältnis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ArbZG – Höchstarbeitszeit, Pausen und Ruhezeit</w:t>
        </w:r>
      </w:hyperlink>
      <w:r>
        <w:rPr>
          <w:sz w:val="18"/>
        </w:rPr>
        <w:t xml:space="preserve">  ·  </w:t>
      </w:r>
      <w:hyperlink r:id="rId17">
        <w:r>
          <w:rPr>
            <w:color w:val="166B63"/>
            <w:sz w:val="18"/>
          </w:rPr>
          <w:t>DSGVO – insbesondere Art. 5, 6, 7, 13, 17, 28, 32 und 44 ff.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homeoffice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arbst_ttv_2004/" TargetMode="External"/><Relationship Id="rId14" Type="http://schemas.openxmlformats.org/officeDocument/2006/relationships/hyperlink" Target="https://www.gesetze-im-internet.de/arbschg/" TargetMode="External"/><Relationship Id="rId15" Type="http://schemas.openxmlformats.org/officeDocument/2006/relationships/hyperlink" Target="https://www.gesetze-im-internet.de/bdsg_2018/__26.html" TargetMode="External"/><Relationship Id="rId16" Type="http://schemas.openxmlformats.org/officeDocument/2006/relationships/hyperlink" Target="https://www.gesetze-im-internet.de/arbzg/" TargetMode="External"/><Relationship Id="rId17" Type="http://schemas.openxmlformats.org/officeDocument/2006/relationships/hyperlink" Target="https://eur-lex.europa.eu/legal-content/DE/TXT/?uri=CELEX:32016R0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Homeoffice-Vereinbarung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