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Vereinbarung über eine Gehaltserhöhung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Eine Gehaltserhöhung sollte keine versteckte Komplettablösung aller bisherigen Vergütungsbestandteile enthalten. Prüfen Sie besonders Anrechnungs- und Freiwilligkeitsklauseln.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Neues Grundentgelt</w:t>
      </w:r>
    </w:p>
    <w:p>
      <w:r>
        <w:t>Ab [DATUM] beträgt das Grundentgelt [BETRAG] Euro brutto pro [MONAT / STUNDE]. Der vereinbarte Arbeitsumfang von [STUNDEN] Wochenstunden bleibt unverändert.</w:t>
      </w:r>
    </w:p>
    <w:p>
      <w:pPr>
        <w:pStyle w:val="Heading2"/>
      </w:pPr>
      <w:r>
        <w:t>3. Weitere Bestandteile</w:t>
      </w:r>
    </w:p>
    <w:p>
      <w:r>
        <w:t>Folgende Zulagen, Boni und Sonderzahlungen gelten unverändert fort: [ANGABEN]. Eine pauschale Verrechnung oder ein Verzicht auf entstandene Ansprüche wird nicht vereinbart.</w:t>
      </w:r>
    </w:p>
    <w:p>
      <w:pPr>
        <w:pStyle w:val="Heading2"/>
      </w:pPr>
      <w:r>
        <w:t>4. Fortgeltung</w:t>
      </w:r>
    </w:p>
    <w:p>
      <w:r>
        <w:t>Im Übrigen bleibt der Arbeitsvertrag vom [DATUM] unverändert. Die gesetzlich erforderliche Abrechnung und Statusprüfung werden an das neue Entgelt angepasst.</w:t>
      </w:r>
    </w:p>
    <w:p>
      <w:pPr>
        <w:pStyle w:val="Heading2"/>
      </w:pPr>
      <w:r>
        <w:t>5.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2 NachwG – Pflichtangaben, Nachweis und elektronische Übermittlung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8 SGB IV – Geringfügige und kurzfristige Beschäftigung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20 SGB IV – Übergangsbereich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gehaltserhoehun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nachwg/__2.html" TargetMode="External"/><Relationship Id="rId14" Type="http://schemas.openxmlformats.org/officeDocument/2006/relationships/hyperlink" Target="https://www.gesetze-im-internet.de/sgb_4/__8.html" TargetMode="External"/><Relationship Id="rId15" Type="http://schemas.openxmlformats.org/officeDocument/2006/relationships/hyperlink" Target="https://www.gesetze-im-internet.de/sgb_4/__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Vereinbarung über eine Gehaltserhöhung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