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Fristlose Kündigung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Prüf- und Sachverhaltsbogen, kein versandfertiges Kündigungsschreiben. Ein automatischer „Fristlos kündigen“-Generator wäre für diese Fallgruppe ungeeignet.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Ein etwaiges Kündigungsschreiben benötigt Schriftform; das Dokument hier ist nur ein Prüfrahmen.</w:t>
      </w:r>
    </w:p>
    <w:p>
      <w:pPr>
        <w:pStyle w:val="Heading2"/>
      </w:pPr>
      <w:r>
        <w:t>1. Keine Kündigungserklärung</w:t>
      </w:r>
    </w:p>
    <w:p>
      <w:r>
        <w:t>Dieses Dokument dient ausschließlich der Sachverhaltsaufbereitung. Es beendet kein Arbeitsverhältnis.</w:t>
      </w:r>
    </w:p>
    <w:p>
      <w:pPr>
        <w:pStyle w:val="Heading2"/>
      </w:pPr>
      <w:r>
        <w:t>2. Chronologie</w:t>
      </w:r>
    </w:p>
    <w:p>
      <w:r>
        <w:t>Betroffene Person und Funktion: [ANGABEN]. Konkreter Vorfall mit Datum, Ort und Handlung: [SACHVERHALT]. Beweismittel und mögliche entlastende Umstände: [ANGABEN].</w:t>
      </w:r>
    </w:p>
    <w:p>
      <w:pPr>
        <w:pStyle w:val="Heading2"/>
      </w:pPr>
      <w:r>
        <w:t>3. Kenntnis und Reaktion</w:t>
      </w:r>
    </w:p>
    <w:p>
      <w:r>
        <w:t>Kündigungsberechtigte Person: [NAME]. Kenntnis relevanter Tatsachen am [DATUM]. Erforderliche Ermittlungen und Anhörung: [SCHRITTE MIT DATEN].</w:t>
      </w:r>
    </w:p>
    <w:p>
      <w:pPr>
        <w:pStyle w:val="Heading2"/>
      </w:pPr>
      <w:r>
        <w:t>4. Abwägung und Verfahren</w:t>
      </w:r>
    </w:p>
    <w:p>
      <w:r>
        <w:t>Mildere Mittel und Abmahnung: [BEWERTUNG]. Sonderkündigungsschutz, Betriebsratsbeteiligung und gegebenenfalls behördliche Zustimmung: [PRÜFERGEBNIS]. Form, Frist und Zugang einer gesonderten Erklärung müssen vor deren Abgabe fachlich geprüft werden.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626 BGB – Außerordentliche Kündigung aus wichtigem Grund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102 BetrVG – Betriebsratsanhörung vor der Kündigung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4 KSchG – Dreiwöchige Klagefrist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fristlose-kuendigung/" TargetMode="External"/><Relationship Id="rId12" Type="http://schemas.openxmlformats.org/officeDocument/2006/relationships/hyperlink" Target="https://www.gesetze-im-internet.de/bgb/__626.html" TargetMode="External"/><Relationship Id="rId13" Type="http://schemas.openxmlformats.org/officeDocument/2006/relationships/hyperlink" Target="https://www.gesetze-im-internet.de/bgb/__623.html" TargetMode="External"/><Relationship Id="rId14" Type="http://schemas.openxmlformats.org/officeDocument/2006/relationships/hyperlink" Target="https://www.gesetze-im-internet.de/betrvg/__102.html" TargetMode="External"/><Relationship Id="rId15" Type="http://schemas.openxmlformats.org/officeDocument/2006/relationships/hyperlink" Target="https://www.gesetze-im-internet.de/kschg/__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Fristlose Kündigung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