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Ferienjob-Arbeitsvertrag</w:t>
      </w:r>
    </w:p>
    <w:p>
      <w:pPr>
        <w:pStyle w:val="Subtitle"/>
      </w:pPr>
      <w:r>
        <w:t>Arbeitsvertragsmuster · Informationsstand 14. September 2026</w:t>
      </w:r>
    </w:p>
    <w:p>
      <w:r>
        <w:rPr>
          <w:b/>
        </w:rPr>
        <w:t xml:space="preserve">Vor Verwendung: </w:t>
      </w:r>
      <w:r>
        <w:t>Das Muster ist für volljährige Ferienjobber ausgelegt. Bei Minderjährigen genügt es nicht, nur ein Geburtsdatum einzutragen; das Schülerjob-Muster und der konkrete Jugendschutz müssen zusätzlich geprüft werden.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 formgerecht vor Beginn; bei Minderjährigen zusätzliche Voraussetzungen.</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Befristung</w:t>
      </w:r>
    </w:p>
    <w:p>
      <w:r>
        <w:t>Der für eine volljährige Person vorgesehene Ferienjob beginnt am [BEGINN] und endet am [ENDE]. Geprüfte Befristungsgrundlage: [ANGABE].</w:t>
      </w:r>
    </w:p>
    <w:p>
      <w:pPr>
        <w:pStyle w:val="Heading2"/>
      </w:pPr>
      <w:r>
        <w:t>3. Einsatz und Vergütung</w:t>
      </w:r>
    </w:p>
    <w:p>
      <w:r>
        <w:t>Tätigkeit: [AUFGABEN]. Arbeitszeit: [STUNDEN UND TAGE]. Bruttostundenlohn: [BETRAG]. Die gesetzlichen Vergütungs- und Schutzrechte bleiben unberührt.</w:t>
      </w:r>
    </w:p>
    <w:p>
      <w:pPr>
        <w:pStyle w:val="Heading2"/>
      </w:pPr>
      <w:r>
        <w:t>4. Statusprüfung</w:t>
      </w:r>
    </w:p>
    <w:p>
      <w:r>
        <w:t>Schul- beziehungsweise Studienstatus, Alter und weitere Beschäftigungen werden vor Beginn dokumentiert. Eine kurzfristige oder geringfügige Einordnung wird nicht allein aufgrund der Ferienzeit zugesagt.</w:t>
      </w:r>
    </w:p>
    <w:p>
      <w:pPr>
        <w:pStyle w:val="Heading2"/>
      </w:pPr>
      <w:r>
        <w:t>5. Kündigung</w:t>
      </w:r>
    </w:p>
    <w:p>
      <w:r>
        <w:t>Die ordentliche Kündigung wird ausdrücklich zugelassen. Es gelten die einschlägigen gesetzlichen Fristen.</w:t>
      </w:r>
    </w:p>
    <w:p>
      <w:pPr>
        <w:pStyle w:val="Heading2"/>
      </w:pPr>
      <w:r>
        <w:t>6.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7.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8.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9.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10.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11.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12.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13.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JArbSchG – Beschäftigung von Kindern und Jugendlichen</w:t>
        </w:r>
      </w:hyperlink>
      <w:r>
        <w:rPr>
          <w:sz w:val="18"/>
        </w:rPr>
        <w:t xml:space="preserve">  ·  </w:t>
      </w:r>
      <w:hyperlink r:id="rId13">
        <w:r>
          <w:rPr>
            <w:color w:val="166B63"/>
            <w:sz w:val="18"/>
          </w:rPr>
          <w:t>§ 8 SGB IV – Geringfügige und kurzfristige Beschäftigung</w:t>
        </w:r>
      </w:hyperlink>
      <w:r>
        <w:rPr>
          <w:sz w:val="18"/>
        </w:rPr>
        <w:t xml:space="preserve">  ·  </w:t>
      </w:r>
      <w:hyperlink r:id="rId14">
        <w:r>
          <w:rPr>
            <w:color w:val="166B63"/>
            <w:sz w:val="18"/>
          </w:rPr>
          <w:t>§ 22 MiLoG – Praktika, Jugendliche und weitere Ausnahmen</w:t>
        </w:r>
      </w:hyperlink>
      <w:r>
        <w:rPr>
          <w:sz w:val="18"/>
        </w:rPr>
        <w:t xml:space="preserve">  ·  </w:t>
      </w:r>
      <w:hyperlink r:id="rId15">
        <w:r>
          <w:rPr>
            <w:color w:val="166B63"/>
            <w:sz w:val="18"/>
          </w:rPr>
          <w:t>TzBfG – Teilzeit, Abrufarbeit, Arbeitsplatzteilung und Befristung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ferienjob/" TargetMode="External"/><Relationship Id="rId12" Type="http://schemas.openxmlformats.org/officeDocument/2006/relationships/hyperlink" Target="https://www.gesetze-im-internet.de/jarbschg/BJNR009650976.html" TargetMode="External"/><Relationship Id="rId13" Type="http://schemas.openxmlformats.org/officeDocument/2006/relationships/hyperlink" Target="https://www.gesetze-im-internet.de/sgb_4/__8.html" TargetMode="External"/><Relationship Id="rId14" Type="http://schemas.openxmlformats.org/officeDocument/2006/relationships/hyperlink" Target="https://www.gesetze-im-internet.de/milog/__22.html" TargetMode="External"/><Relationship Id="rId15" Type="http://schemas.openxmlformats.org/officeDocument/2006/relationships/hyperlink" Target="https://www.gesetze-im-internet.de/tzbfg/BJNR1966100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Ferienjob-Arbeitsvertrag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