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Brückenteilzeit-Vereinbarung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Verwechseln Sie das Ende der Brückenteilzeit nicht mit einem Ende des Arbeitsverhältnisses. Eine freiwillige befristete Teilzeitvereinbarung außerhalb des gesetzlichen Anspruchs sollte ebenfalls die Rückkehr ausdrücklich regeln.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Antrag grundsätzlich in Textform und fristgerecht; Zusatzvereinbarung beweissicher dokumentieren.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Bezug und Dauer</w:t>
      </w:r>
    </w:p>
    <w:p>
      <w:r>
        <w:t>Ergänzt wird der Arbeitsvertrag vom [DATUM]. Vom [BEGINN] bis einschließlich [ENDE] wird die regelmäßige Wochenarbeitszeit von [BISHER] auf [NEU] Stunden reduziert.</w:t>
      </w:r>
    </w:p>
    <w:p>
      <w:pPr>
        <w:pStyle w:val="Heading2"/>
      </w:pPr>
      <w:r>
        <w:t>3. Verteilung und Vergütung</w:t>
      </w:r>
    </w:p>
    <w:p>
      <w:r>
        <w:t>Die reduzierte Arbeitszeit verteilt sich auf [TAGE UND ZEITEN]. Das monatliche Bruttoentgelt beträgt in dieser Phase [BETRAG]. Variable Vergütung und Urlaub werden in Anlage 1 anhand der konkreten Verteilung dargestellt.</w:t>
      </w:r>
    </w:p>
    <w:p>
      <w:pPr>
        <w:pStyle w:val="Heading2"/>
      </w:pPr>
      <w:r>
        <w:t>4. Rückkehr</w:t>
      </w:r>
    </w:p>
    <w:p>
      <w:r>
        <w:t>Ab [RÜCKKEHRDATUM] gilt wieder der zuvor vereinbarte Umfang von [BISHER] Wochenstunden. Das Arbeitsverhältnis selbst bleibt unverändert bestehen; eine Befristung des Arbeitsverhältnisses wird nicht vereinbart.</w:t>
      </w:r>
    </w:p>
    <w:p>
      <w:pPr>
        <w:pStyle w:val="Heading2"/>
      </w:pPr>
      <w:r>
        <w:t>5.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BUrlG – Gesetzlicher Mindesturlaub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brueckenteilzeit/" TargetMode="External"/><Relationship Id="rId12" Type="http://schemas.openxmlformats.org/officeDocument/2006/relationships/hyperlink" Target="https://www.gesetze-im-internet.de/tzbfg/BJNR196610000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burlg/BJNR0000209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Brückenteilzeit-Vereinbarung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