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Bonus- und Zielvereinbarung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Zielbonus, Freiwilligkeitsvorbehalt und Stichtagsverfall dürfen nicht widersprüchlich kombiniert werden. Dieses Muster enthält bewusst keinen pauschalen Verfall bereits erarbeiteter Vergütung.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Änderung nachvollziehbar dokumentieren; besondere gesetzliche oder vertragliche Formvorgaben prüfen.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Periode und Zielbonus</w:t>
      </w:r>
    </w:p>
    <w:p>
      <w:r>
        <w:t>Für die Periode [BEGINN BIS ENDE] beträgt der Zielbonus bei 100 Prozent Zielerreichung [BETRAG] Euro brutto. Das feste Grundentgelt bleibt unberührt.</w:t>
      </w:r>
    </w:p>
    <w:p>
      <w:pPr>
        <w:pStyle w:val="Heading2"/>
      </w:pPr>
      <w:r>
        <w:t>3. Ziele und Berechnung</w:t>
      </w:r>
    </w:p>
    <w:p>
      <w:r>
        <w:t>Ziel 1: [KENNZAHL, DATENQUELLE, WERT, GEWICHT]. Ziel 2: [ANGABEN]. Die Gewichte ergeben zusammen 100 Prozent. Berechnungsformel, zulässige Obergrenze und Beispielsrechnung stehen in Anlage 1.</w:t>
      </w:r>
    </w:p>
    <w:p>
      <w:pPr>
        <w:pStyle w:val="Heading2"/>
      </w:pPr>
      <w:r>
        <w:t>4. Änderungen und Information</w:t>
      </w:r>
    </w:p>
    <w:p>
      <w:r>
        <w:t>Zieländerungen bedürfen einer transparenten Abstimmung für die Zukunft. Die beschäftigte Person erhält während der Periode Zugang zu den für die Berechnung erforderlichen Informationen.</w:t>
      </w:r>
    </w:p>
    <w:p>
      <w:pPr>
        <w:pStyle w:val="Heading2"/>
      </w:pPr>
      <w:r>
        <w:t>5. Abrechnung</w:t>
      </w:r>
    </w:p>
    <w:p>
      <w:r>
        <w:t>Die nachvollziehbare Abrechnung erfolgt bis [DATUM], die Zahlung bis [DATUM]. Eintritt, Ausscheiden und relevante Abwesenheiten werden nach [KONKRETE GEPRÜFTE REGELUNG] behandelt. Ein pauschaler Entzug bereits erarbeiteter Vergütung wird nicht vereinbart.</w:t>
      </w:r>
    </w:p>
    <w:p>
      <w:pPr>
        <w:pStyle w:val="Heading2"/>
      </w:pPr>
      <w:r>
        <w:t>6.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2 NachwG – Pflichtangaben, Nachweis und elektronische Übermittlung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TzBfG – Teilzeit, Abrufarbeit, Arbeitsplatzteilung und Befristung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MiLoG – Mindestlohn und persönlicher Anwendungsbereich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bonusvereinbarun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nachwg/__2.html" TargetMode="External"/><Relationship Id="rId14" Type="http://schemas.openxmlformats.org/officeDocument/2006/relationships/hyperlink" Target="https://www.gesetze-im-internet.de/tzbfg/BJNR196610000.html" TargetMode="External"/><Relationship Id="rId15" Type="http://schemas.openxmlformats.org/officeDocument/2006/relationships/hyperlink" Target="https://www.gesetze-im-internet.de/mi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Bonus- und Zielvereinbarung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