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Aufhebungsvertrag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Vor Unterzeichnung individuell arbeits- und sozialrechtlich prüfen. Das Grundmuster enthält bewusst keine pauschale Generalquittung und garantiert weder Arbeitslosengeld noch eine Abfindungshöhe.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Schriftform nach § 623 BGB; elektronische Form ausgeschlossen, auch bei qualifizierter elektronischer Signatur.</w:t>
      </w:r>
    </w:p>
    <w:p>
      <w:pPr>
        <w:pStyle w:val="Heading2"/>
      </w:pPr>
      <w:r>
        <w:t>1. Parteien und Beendigung</w:t>
      </w:r>
    </w:p>
    <w:p>
      <w:r>
        <w:t>Zwischen [ARBEITGEBER, ANSCHRIFT, VERTRETUNG] und [BESCHÄFTIGTE PERSON, ANSCHRIFT] wird vereinbart: Das Arbeitsverhältnis endet im gegenseitigen Einvernehmen mit Ablauf des [DATUM].</w:t>
      </w:r>
    </w:p>
    <w:p>
      <w:pPr>
        <w:pStyle w:val="Heading2"/>
      </w:pPr>
      <w:r>
        <w:t>2. Vergütung bis zum Ende</w:t>
      </w:r>
    </w:p>
    <w:p>
      <w:r>
        <w:t>Bis zum Beendigungszeitpunkt werden die vertraglich geschuldeten Leistungen abgerechnet. Offene Vergütungspositionen und variable Ansprüche: [EINZELNE POSITIONEN, BETRÄGE, FÄLLIGKEITEN].</w:t>
      </w:r>
    </w:p>
    <w:p>
      <w:pPr>
        <w:pStyle w:val="Heading2"/>
      </w:pPr>
      <w:r>
        <w:t>3. Abfindung</w:t>
      </w:r>
    </w:p>
    <w:p>
      <w:r>
        <w:t>Zusätzlich wird eine Abfindung in Höhe von [BETRAG] EUR brutto vereinbart, fällig am [DATUM]. Ist keine Abfindung vereinbart, lautet dieser Abschnitt ausdrücklich: „Eine Abfindung wird nicht vereinbart.“ Vor Unterzeichnung genau eine Fassung festlegen.</w:t>
      </w:r>
    </w:p>
    <w:p>
      <w:pPr>
        <w:pStyle w:val="Heading2"/>
      </w:pPr>
      <w:r>
        <w:t>4. Urlaub und Freistellung</w:t>
      </w:r>
    </w:p>
    <w:p>
      <w:r>
        <w:t>Resturlaub: [TAGE AUF KONKRETER ARBEITSTAGEBASIS]. Gewährung beziehungsweise gesetzlich erforderliche Abgeltung: [KONKRETE REGELUNG]. Eine Freistellung bedarf einer gesondert bestimmten Regelung; dieses Grundmuster rechnet Urlaub nicht pauschal an.</w:t>
      </w:r>
    </w:p>
    <w:p>
      <w:pPr>
        <w:pStyle w:val="Heading2"/>
      </w:pPr>
      <w:r>
        <w:t>5. Zeugnis und Rückgabe</w:t>
      </w:r>
    </w:p>
    <w:p>
      <w:r>
        <w:t>Es wird ein qualifiziertes Zeugnis erteilt. Rückgabe von [GEGENSTÄNDE] bis [DATUM] an [KONTAKT]; private Daten und rechtmäßig benötigte Nachweise werden dabei berücksichtigt.</w:t>
      </w:r>
    </w:p>
    <w:p>
      <w:pPr>
        <w:pStyle w:val="Heading2"/>
      </w:pPr>
      <w:r>
        <w:t>6. Offene Ansprüche und Hinweise</w:t>
      </w:r>
    </w:p>
    <w:p>
      <w:r>
        <w:t>Eine pauschale Erledigung sämtlicher bekannter und unbekannter Ansprüche wird nicht vereinbart. Gesetzliche Meldepflichten gegenüber der Agentur für Arbeit bleiben bestehen. Sozialrechtliche Entscheidungen und steuerliche Ergebnisse werden nicht garantiert.</w:t>
      </w:r>
    </w:p>
    <w:p>
      <w:pPr>
        <w:pStyle w:val="Heading2"/>
      </w:pPr>
      <w:r>
        <w:t>7. Unterzeichnung</w:t>
      </w:r>
    </w:p>
    <w:p>
      <w:r>
        <w:t>[ORT, DATUM, EIGENHÄNDIGE ORIGINALUNTERSCHRIFTEN BEIDER VERTRAGSPARTEIEN]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159 SGB III – Sperrzeit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158 SGB III – Ruhen bei Entlassungsentschädigung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BUrlG – Gesetzlicher Mindesturlaub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aufhebungsvertrag/" TargetMode="External"/><Relationship Id="rId12" Type="http://schemas.openxmlformats.org/officeDocument/2006/relationships/hyperlink" Target="https://www.gesetze-im-internet.de/bgb/__623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sgb_3/__159.html" TargetMode="External"/><Relationship Id="rId15" Type="http://schemas.openxmlformats.org/officeDocument/2006/relationships/hyperlink" Target="https://www.gesetze-im-internet.de/sgb_3/__158.html" TargetMode="External"/><Relationship Id="rId16" Type="http://schemas.openxmlformats.org/officeDocument/2006/relationships/hyperlink" Target="https://www.gesetze-im-internet.de/burlg/BJNR0000209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Aufhebungsvertrag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