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AÜG-Rahmenvertrag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Der Rahmen allein legitimiert keinen Einsatz. Er benötigt vollständig ausgefüllte Einzelvereinbarungen und eine tatsächlich passende AÜG-Erlaubnis.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Textform nach § 12 AÜG; separate rechtzeitige Konkretisierung jedes Einsatzes erforderlich.</w:t>
      </w:r>
    </w:p>
    <w:p>
      <w:pPr>
        <w:pStyle w:val="Heading2"/>
      </w:pPr>
      <w:r>
        <w:t>1. Rahmen und Parteien</w:t>
      </w:r>
    </w:p>
    <w:p>
      <w:r>
        <w:t>Verleiher [ANGABEN] und Entleiher [ANGABEN] schließen den Rahmen [VERTRAGSNUMMER] für ausdrücklich als Arbeitnehmerüberlassung bezeichnete Einsätze. Der Rahmen enthält keine alleinige Einsatzfreigabe.</w:t>
      </w:r>
    </w:p>
    <w:p>
      <w:pPr>
        <w:pStyle w:val="Heading2"/>
      </w:pPr>
      <w:r>
        <w:t>2. Erlaubnis und Nachweise</w:t>
      </w:r>
    </w:p>
    <w:p>
      <w:r>
        <w:t>Der Verleiher erklärt den Besitz der erforderlichen gültigen Erlaubnis [BEHÖRDE, DATUM, AKTENZEICHEN, DAUER] und legt einen Nachweis vor. Änderungen werden unverzüglich mitgeteilt.</w:t>
      </w:r>
    </w:p>
    <w:p>
      <w:pPr>
        <w:pStyle w:val="Heading2"/>
      </w:pPr>
      <w:r>
        <w:t>3. Einzelvereinbarung</w:t>
      </w:r>
    </w:p>
    <w:p>
      <w:r>
        <w:t>Vor jedem Einsatz werden Person, Qualifikation, Tätigkeit, Ort, Arbeitszeit, Beginn, Ende, Vergleichsbedingungen, Preis und anzurechnende Vorzeiten in Textform konkretisiert. Ohne vollständige Zuordnung erfolgt kein Einsatz.</w:t>
      </w:r>
    </w:p>
    <w:p>
      <w:pPr>
        <w:pStyle w:val="Heading2"/>
      </w:pPr>
      <w:r>
        <w:t>4. Informations- und Schutzpflichten</w:t>
      </w:r>
    </w:p>
    <w:p>
      <w:r>
        <w:t>Zuständige Ansprechpartner [NAMEN] stimmen Gleichstellung, Arbeitsschutz, Unterweisung, Schutzkleidung, Unfälle und einsatzbezogene Änderungen ab. Zwingende gesetzliche Verantwortlichkeiten werden nicht abbedungen.</w:t>
      </w:r>
    </w:p>
    <w:p>
      <w:pPr>
        <w:pStyle w:val="Heading2"/>
      </w:pPr>
      <w:r>
        <w:t>5. Abrechnung</w:t>
      </w:r>
    </w:p>
    <w:p>
      <w:r>
        <w:t>Leistungsnachweise werden über [VERFAHREN] bestätigt. Preisbestandteile werden je Einzelvereinbarung ausgewiesen. Zahlungsziel [TAGE] nach ordnungsgemäßer Rechnung. Strittige Stunden werden dokumentiert und geklärt.</w:t>
      </w:r>
    </w:p>
    <w:p>
      <w:pPr>
        <w:pStyle w:val="Heading2"/>
      </w:pPr>
      <w:r>
        <w:t>6. Rahmenlaufzeit</w:t>
      </w:r>
    </w:p>
    <w:p>
      <w:r>
        <w:t>Beginn [DATUM], Laufzeit [REGELUNG], ordentliche B2B-Kündigung [FRIST]. Folgen für laufende zulässige Einzelüberlassungen werden ausdrücklich geregelt: [ANGABEN]. Personenbezogene gesetzliche Höchstdauern bleiben maßgeblich.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1 AÜG – Erlaubnis, Kennzeichnung, Konkretisierung, Höchstdauer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12 AÜG – Vertrag zwischen Verleiher und Entleiher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8 AÜG – Gleichstellung und tarifliche Abweichungen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ueg-vertraege/aueg-rahmenvertrag/" TargetMode="External"/><Relationship Id="rId12" Type="http://schemas.openxmlformats.org/officeDocument/2006/relationships/hyperlink" Target="https://www.gesetze-im-internet.de/a_g/__1.html" TargetMode="External"/><Relationship Id="rId13" Type="http://schemas.openxmlformats.org/officeDocument/2006/relationships/hyperlink" Target="https://www.gesetze-im-internet.de/a_g/__12.html" TargetMode="External"/><Relationship Id="rId14" Type="http://schemas.openxmlformats.org/officeDocument/2006/relationships/hyperlink" Target="https://www.gesetze-im-internet.de/a_g/__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AÜG-Rahmenvertrag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