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Arbeitnehmerüberlassungsvertrag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Informations- und B2B-Grundmuster für tatsächlich zulässige Arbeitnehmerüberlassung. Diese Seite behauptet nicht, dass CALUMA selbst über eine AÜG-Erlaubnis verfügt oder als Verleiher handelt.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Textform nach § 12 AÜG; ausdrückliche Kennzeichnung und personenbezogene Konkretisierung vor Einsatzbeginn.</w:t>
      </w:r>
    </w:p>
    <w:p>
      <w:pPr>
        <w:pStyle w:val="Heading2"/>
      </w:pPr>
      <w:r>
        <w:t>1. Vertragsparteien und Gegenstand</w:t>
      </w:r>
    </w:p>
    <w:p>
      <w:r>
        <w:t>Verleiher [FIRMA, ANSCHRIFT, VERTRETUNG] und Entleiher [FIRMA, ANSCHRIFT, VERTRETUNG] vereinbaren ausdrücklich Arbeitnehmerüberlassung nach dem AÜG. Beginn erst nach Erfüllung aller gesetzlichen Einsatzvoraussetzungen.</w:t>
      </w:r>
    </w:p>
    <w:p>
      <w:pPr>
        <w:pStyle w:val="Heading2"/>
      </w:pPr>
      <w:r>
        <w:t>2. Erlaubnis</w:t>
      </w:r>
    </w:p>
    <w:p>
      <w:r>
        <w:t>Der Verleiher erklärt, Inhaber der erforderlichen gültigen Erlaubnis zu sein: [ERLAUBNISBEHÖRDE, DATUM, AKTENZEICHEN, GELTUNGSDAUER]. Nachweis ist Anlage 1. Relevante Änderungen oder Wegfall werden unverzüglich mitgeteilt.</w:t>
      </w:r>
    </w:p>
    <w:p>
      <w:pPr>
        <w:pStyle w:val="Heading2"/>
      </w:pPr>
      <w:r>
        <w:t>3. Person und Einsatz</w:t>
      </w:r>
    </w:p>
    <w:p>
      <w:r>
        <w:t>Überlassene Person: [NAME, EINDEUTIGE ZUORDNUNG]. Tätigkeit und erforderliche Qualifikation: [ANGABEN]. Einsatzort, Beginn, Ende, vereinbarte Arbeitszeit und Ansprechpartner: [ANGABEN]. Diese Konkretisierung muss vor Einsatzbeginn erfolgen.</w:t>
      </w:r>
    </w:p>
    <w:p>
      <w:pPr>
        <w:pStyle w:val="Heading2"/>
      </w:pPr>
      <w:r>
        <w:t>4. Vergleichsbedingungen</w:t>
      </w:r>
    </w:p>
    <w:p>
      <w:r>
        <w:t>Wesentliche Arbeitsbedingungen und Arbeitsentgelt einer vergleichbaren Stammkraft sowie Arbeitszeit-, Zuschlags- und Sachleistungsregelungen: [VOLLSTÄNDIGE ANGABEN ALS ANLAGE 2]. Änderungen werden rechtzeitig mitgeteilt. Gesetzliche Gleichstellungsansprüche werden nicht ausgeschlossen.</w:t>
      </w:r>
    </w:p>
    <w:p>
      <w:pPr>
        <w:pStyle w:val="Heading2"/>
      </w:pPr>
      <w:r>
        <w:t>5. Vorzeiten und Tarifprüfung</w:t>
      </w:r>
    </w:p>
    <w:p>
      <w:r>
        <w:t>Anzurechnende Vorüberlassungen und maßgebliche Höchstdauer: [DOKUMENTATION]. Eine etwaige tarifliche Abweichung wird nur auf eine konkret geprüfte anwendbare Grundlage gestützt: [REGELUNG ODER KEINE ABWEICHUNG].</w:t>
      </w:r>
    </w:p>
    <w:p>
      <w:pPr>
        <w:pStyle w:val="Heading2"/>
      </w:pPr>
      <w:r>
        <w:t>6. Arbeitsschutz und Durchführung</w:t>
      </w:r>
    </w:p>
    <w:p>
      <w:r>
        <w:t>Verantwortlichkeiten für Gefährdungsbeurteilung, Unterweisung, persönliche Schutzausrüstung, Qualifikationsnachweise und Unfallmeldung werden in Anlage 3 festgelegt. Der Entleiher setzt die Person nur im vereinbarten zulässigen Rahmen ein.</w:t>
      </w:r>
    </w:p>
    <w:p>
      <w:pPr>
        <w:pStyle w:val="Heading2"/>
      </w:pPr>
      <w:r>
        <w:t>7. Preis und Abrechnung</w:t>
      </w:r>
    </w:p>
    <w:p>
      <w:r>
        <w:t>Verrechnungssatz [BETRAG] EUR netto je [EINHEIT], Zuschläge [EINZELPOSITIONEN], Umsatzsteuer nach geltendem Recht. Leistungsnachweise, Rechnungsstellung und Zahlungsziel: [ANGABEN]. Der Preis ersetzt keine arbeitsrechtlichen Vergütungspflichten.</w:t>
      </w:r>
    </w:p>
    <w:p>
      <w:pPr>
        <w:pStyle w:val="Heading2"/>
      </w:pPr>
      <w:r>
        <w:t>8. Dauer und Störungen</w:t>
      </w:r>
    </w:p>
    <w:p>
      <w:r>
        <w:t>Vertragslaufzeit und B2B-Kündigungsregelung: [ANGABEN]. Bei fehlender Einsatzvoraussetzung wird der Einsatz nicht begonnen beziehungsweise rechtmäßig beendet; Informations- und Abrechnungspflichten bleiben bestehen. Zwingende Rechte der Beschäftigten bleiben unberührt.</w:t>
      </w:r>
    </w:p>
    <w:p>
      <w:pPr>
        <w:pStyle w:val="Heading2"/>
      </w:pPr>
      <w:r>
        <w:t>9.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1 AÜG – Erlaubnis, Kennzeichnung, Konkretisierung, Höchstdauer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12 AÜG – Vertrag zwischen Verleiher und Entleiher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8 AÜG – Gleichstellung und tarifliche Abweichungen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ueg-vertraege/arbeitnehmerueberlassungsvertrag/" TargetMode="External"/><Relationship Id="rId12" Type="http://schemas.openxmlformats.org/officeDocument/2006/relationships/hyperlink" Target="https://www.gesetze-im-internet.de/a_g/__1.html" TargetMode="External"/><Relationship Id="rId13" Type="http://schemas.openxmlformats.org/officeDocument/2006/relationships/hyperlink" Target="https://www.gesetze-im-internet.de/a_g/__12.html" TargetMode="External"/><Relationship Id="rId14" Type="http://schemas.openxmlformats.org/officeDocument/2006/relationships/hyperlink" Target="https://www.gesetze-im-internet.de/bgb/__623.html" TargetMode="External"/><Relationship Id="rId15" Type="http://schemas.openxmlformats.org/officeDocument/2006/relationships/hyperlink" Target="https://www.gesetze-im-internet.de/a_g/__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Arbeitnehmerüberlassungsvertrag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