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für Arbeit auf Abruf</w:t>
      </w:r>
    </w:p>
    <w:p>
      <w:pPr>
        <w:pStyle w:val="Subtitle"/>
      </w:pPr>
      <w:r>
        <w:t>Arbeitsvertragsmuster · Informationsstand 14. September 2026</w:t>
      </w:r>
    </w:p>
    <w:p>
      <w:r>
        <w:rPr>
          <w:b/>
        </w:rPr>
        <w:t xml:space="preserve">Vor Verwendung: </w:t>
      </w:r>
      <w:r>
        <w:t>Das bereitgestellte Grundmuster arbeitet mit festem garantierten Umfang. Wer flexible Mindest- oder Höchstmengen verwenden möchte, muss diese Variante bewusst und gesondert gestalten.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Umfang</w:t>
      </w:r>
    </w:p>
    <w:p>
      <w:r>
        <w:t>Das Arbeitsverhältnis beginnt am [BEGINN] auf unbestimmte Zeit. Garantiert sind [STUNDEN] Stunden je Woche. Dieses Grundmuster enthält keine flexible Mindest- oder Höchststundenklausel.</w:t>
      </w:r>
    </w:p>
    <w:p>
      <w:pPr>
        <w:pStyle w:val="Heading2"/>
      </w:pPr>
      <w:r>
        <w:t>3. Referenzrahmen und Tagesdauer</w:t>
      </w:r>
    </w:p>
    <w:p>
      <w:r>
        <w:t>Abrufe sind nur an [REFERENZTAGE] zwischen [REFERENZSTUNDEN] zulässig. Die tägliche Dauer beträgt [STUNDEN]. Die Lage der Arbeitszeit wird mindestens vier Tage vorher mitgeteilt, soweit keine wirksam vorrangige Regelung besteht.</w:t>
      </w:r>
    </w:p>
    <w:p>
      <w:pPr>
        <w:pStyle w:val="Heading2"/>
      </w:pPr>
      <w:r>
        <w:t>4. Vergütung und Ausfall</w:t>
      </w:r>
    </w:p>
    <w:p>
      <w:r>
        <w:t>Die vereinbarte garantierte Arbeitszeit wird auch dann vergütet, wenn der Arbeitgeber sie nicht vollständig abruft und die gesetzlichen Voraussetzungen vorliegen. Für Krankheit und Feiertage gelten die einschlägigen gesetzlichen Durchschnittsregeln.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 2 NachwG – Pflichtangaben, Nachweis und elektronische Übermittlung</w:t>
        </w:r>
      </w:hyperlink>
      <w:r>
        <w:rPr>
          <w:sz w:val="18"/>
        </w:rPr>
        <w:t xml:space="preserve">  ·  </w:t>
      </w:r>
      <w:hyperlink r:id="rId14">
        <w:r>
          <w:rPr>
            <w:color w:val="166B63"/>
            <w:sz w:val="18"/>
          </w:rPr>
          <w:t>EntgFG – Entgeltfortzahlung bei Krankheit und an Feiertagen</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arbeit-auf-abruf/"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nachwg/__2.html" TargetMode="External"/><Relationship Id="rId14" Type="http://schemas.openxmlformats.org/officeDocument/2006/relationships/hyperlink" Target="https://www.gesetze-im-internet.de/entgfg/BJNR1065009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für Arbeit auf Abruf</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