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Altersteilzeitvertrag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Der Download ist ein unverbindlicher Planungsbogen. Er begründet keine Altersteilzeit und keine Förder-, Steuer- oder Rentenzusage.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Individuelle und tarifliche Formvorgaben sowie die Form einer etwaigen Beendigungsabrede gesondert prüfen.</w:t>
      </w:r>
    </w:p>
    <w:p>
      <w:pPr>
        <w:pStyle w:val="Heading2"/>
      </w:pPr>
      <w:r>
        <w:t>1. Unverbindliche Planung</w:t>
      </w:r>
    </w:p>
    <w:p>
      <w:r>
        <w:t>Arbeitgeber und beschäftigte Person [ANGABEN]. Ausgangsvertrag [DATUM]. Dieses Papier ändert die Beschäftigung noch nicht.</w:t>
      </w:r>
    </w:p>
    <w:p>
      <w:pPr>
        <w:pStyle w:val="Heading2"/>
      </w:pPr>
      <w:r>
        <w:t>2. Modell und Zeitraum</w:t>
      </w:r>
    </w:p>
    <w:p>
      <w:r>
        <w:t>Geplantes Modell [GLEICHVERTEILT / BLOCK]. Gesamtdauer, Arbeitsphase und Freistellungsphase [DATEN]. Geprüfte persönliche und tarifliche Voraussetzungen [ANGABEN].</w:t>
      </w:r>
    </w:p>
    <w:p>
      <w:pPr>
        <w:pStyle w:val="Heading2"/>
      </w:pPr>
      <w:r>
        <w:t>3. Einkommen und Beiträge</w:t>
      </w:r>
    </w:p>
    <w:p>
      <w:r>
        <w:t>Berechnung von reduziertem Entgelt, Aufstockung und zusätzlichen Beiträgen [ANLAGE MIT BETRÄGEN UND RECHTSGRUNDLAGE]. Netto- und Rentenwirkungen wurden mit zuständigen Stellen geklärt [ANGABEN].</w:t>
      </w:r>
    </w:p>
    <w:p>
      <w:pPr>
        <w:pStyle w:val="Heading2"/>
      </w:pPr>
      <w:r>
        <w:t>4. Sicherung und Störungen</w:t>
      </w:r>
    </w:p>
    <w:p>
      <w:r>
        <w:t>Erforderliche Sicherung vorgeleisteter Arbeit [KONKRETES INSTRUMENT]. Folgen von Krankheit, vorzeitigem Ende und anderen Störfällen [INDIVIDUELL PRÜFEN].</w:t>
      </w:r>
    </w:p>
    <w:p>
      <w:pPr>
        <w:pStyle w:val="Heading2"/>
      </w:pPr>
      <w:r>
        <w:t>5. Endfassung</w:t>
      </w:r>
    </w:p>
    <w:p>
      <w:r>
        <w:t>Rentenbeginn und Beendigung des Arbeitsverhältnisses sind gesondert formgerecht abzustimmen. Erst eine vollständige geprüfte Endfassung kann verbindliche Altersteilzeit begründen.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AltTZG – Altersteilzeit und Sicherung von Wertguthaben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§§ 7b ff. SGB IV – Wertguthaben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41 SGB VI – Altersrente und Beendigung des Arbeitsverhältnisses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altersteilzeit/" TargetMode="External"/><Relationship Id="rId12" Type="http://schemas.openxmlformats.org/officeDocument/2006/relationships/hyperlink" Target="https://www.gesetze-im-internet.de/alttzg_1996/BJNR107810996.html" TargetMode="External"/><Relationship Id="rId13" Type="http://schemas.openxmlformats.org/officeDocument/2006/relationships/hyperlink" Target="https://www.gesetze-im-internet.de/sgb_4/__7b.html" TargetMode="External"/><Relationship Id="rId14" Type="http://schemas.openxmlformats.org/officeDocument/2006/relationships/hyperlink" Target="https://www.gesetze-im-internet.de/sgb_6/__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Altersteilzeitvertrag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