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Änderungskündigung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Eckpunkte- und Angebotsbogen. Er erklärt selbst keine Kündigung und ersetzt kein individuell geprüftes Änderungskündigungsschreiben.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Die Kündigungskomponente unterliegt § 623 BGB; dieses Eckpunktepapier enthält keine Kündigung.</w:t>
      </w:r>
    </w:p>
    <w:p>
      <w:pPr>
        <w:pStyle w:val="Heading2"/>
      </w:pPr>
      <w:r>
        <w:t>1. Vorbereitungscharakter</w:t>
      </w:r>
    </w:p>
    <w:p>
      <w:r>
        <w:t>Dieses Papier enthält keine Kündigung. Ausgangsvertrag und betroffene Person: [ANGABEN].</w:t>
      </w:r>
    </w:p>
    <w:p>
      <w:pPr>
        <w:pStyle w:val="Heading2"/>
      </w:pPr>
      <w:r>
        <w:t>2. Bisherige und neue Bedingungen</w:t>
      </w:r>
    </w:p>
    <w:p>
      <w:r>
        <w:t>Bisherige Tätigkeit, Ort, Arbeitszeit und Vergütung: [ANGABEN]. Geplante neue Bedingungen ab [DATUM]: [VOLLSTÄNDIG UND EINDEUTIG BESCHREIBEN]. Unverändert bleibende Regelungen: [ANGABEN].</w:t>
      </w:r>
    </w:p>
    <w:p>
      <w:pPr>
        <w:pStyle w:val="Heading2"/>
      </w:pPr>
      <w:r>
        <w:t>3. Anlass und Alternativen</w:t>
      </w:r>
    </w:p>
    <w:p>
      <w:r>
        <w:t>Sachlicher Änderungsbedarf: [BEGRÜNDUNG]. Geprüfte mildere Maßnahmen und freiwillige Änderungsangebote: [ANGABEN].</w:t>
      </w:r>
    </w:p>
    <w:p>
      <w:pPr>
        <w:pStyle w:val="Heading2"/>
      </w:pPr>
      <w:r>
        <w:t>4. Verfahren</w:t>
      </w:r>
    </w:p>
    <w:p>
      <w:r>
        <w:t>Kündigungsschutz, Sonderkündigungsschutz, Anhörung und Fristen: [PRÜFERGEBNIS]. Erst ein gesondertes formwirksames, fachlich geprüftes Schreiben mit vollständigem Angebot kann die beabsichtigten Rechtsfolgen auslösen.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2 KSchG – Änderungskündigung und Vorbehalt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4 KSchG – Dreiwöchige Klagefrist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102 BetrVG – Betriebsratsanhörung vor der Kündigung</w:t>
        </w:r>
      </w:hyperlink>
      <w:r>
        <w:rPr>
          <w:sz w:val="18"/>
        </w:rPr>
        <w:t xml:space="preserve">  ·  </w:t>
      </w:r>
      <w:hyperlink r:id="rId17">
        <w:r>
          <w:rPr>
            <w:color w:val="166B63"/>
            <w:sz w:val="18"/>
          </w:rPr>
          <w:t>KSchG – Kündigungsschutz und Klagefristen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aenderungskuendigung/" TargetMode="External"/><Relationship Id="rId12" Type="http://schemas.openxmlformats.org/officeDocument/2006/relationships/hyperlink" Target="https://www.gesetze-im-internet.de/kschg/__2.html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kschg/__4.html" TargetMode="External"/><Relationship Id="rId15" Type="http://schemas.openxmlformats.org/officeDocument/2006/relationships/hyperlink" Target="https://www.gesetze-im-internet.de/bgb/__623.html" TargetMode="External"/><Relationship Id="rId16" Type="http://schemas.openxmlformats.org/officeDocument/2006/relationships/hyperlink" Target="https://www.gesetze-im-internet.de/betrvg/__102.html" TargetMode="External"/><Relationship Id="rId17" Type="http://schemas.openxmlformats.org/officeDocument/2006/relationships/hyperlink" Target="https://www.gesetze-im-internet.de/ksc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Änderungskündigung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