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Abwicklungsvertrag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Das Grundmuster enthält keinen Klageverzicht, keine Generalquittung und keine eigenständige Änderung des Beendigungsdatums. Verhandlungen hemmen gerichtliche Fristen nicht automatisch.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Dokumentieren und grundsätzlich unterschreiben; enthält die Endfassung eine Beendigungsabrede, gilt § 623 BGB zwingend.</w:t>
      </w:r>
    </w:p>
    <w:p>
      <w:pPr>
        <w:pStyle w:val="Heading2"/>
      </w:pPr>
      <w:r>
        <w:t>1. Bezug</w:t>
      </w:r>
    </w:p>
    <w:p>
      <w:r>
        <w:t>Zwischen [ARBEITGEBER] und [BESCHÄFTIGTE PERSON] wird zur Kündigung vom [DATUM], zugegangen am [DATUM], Folgendes vereinbart. Dieses Grundmuster ändert den darin genannten Beendigungszeitpunkt nicht und enthält keine Anerkennung der Wirksamkeit.</w:t>
      </w:r>
    </w:p>
    <w:p>
      <w:pPr>
        <w:pStyle w:val="Heading2"/>
      </w:pPr>
      <w:r>
        <w:t>2. Abrechnung</w:t>
      </w:r>
    </w:p>
    <w:p>
      <w:r>
        <w:t>Offene Vergütung, Auslagen und variable Ansprüche werden wie folgt abgerechnet: [POSITIONEN, BETRÄGE, FÄLLIGKEITEN]. Eine zusätzliche Zahlung wird nur geschuldet, wenn sie ausdrücklich vereinbart ist: [KONKRETE REGELUNG ODER KEINE].</w:t>
      </w:r>
    </w:p>
    <w:p>
      <w:pPr>
        <w:pStyle w:val="Heading2"/>
      </w:pPr>
      <w:r>
        <w:t>3. Urlaub und Unterlagen</w:t>
      </w:r>
    </w:p>
    <w:p>
      <w:r>
        <w:t>Resturlaub und eine gegebenenfalls gesetzlich erforderliche Abgeltung: [ANGABEN]. Qualifiziertes Zeugnis und sonstige geschuldete Unterlagen werden bis [DATUM] erteilt.</w:t>
      </w:r>
    </w:p>
    <w:p>
      <w:pPr>
        <w:pStyle w:val="Heading2"/>
      </w:pPr>
      <w:r>
        <w:t>4. Rückgabe</w:t>
      </w:r>
    </w:p>
    <w:p>
      <w:r>
        <w:t>Arbeitsmittel [LISTE] werden bis [DATUM] an [KONTAKT] zurückgegeben. Der Umgang mit privaten Daten und aufbewahrungspflichtigen Unterlagen wird abgestimmt.</w:t>
      </w:r>
    </w:p>
    <w:p>
      <w:pPr>
        <w:pStyle w:val="Heading2"/>
      </w:pPr>
      <w:r>
        <w:t>5. Keine pauschale Erledigung</w:t>
      </w:r>
    </w:p>
    <w:p>
      <w:r>
        <w:t>Ein Klageverzicht, eine neue Beendigungsabrede oder eine pauschale Erledigung sonstiger Ansprüche werden durch dieses Muster nicht vereinbart. Gesetzliche Fristen und Meldepflichten bleiben bestehen.</w:t>
      </w:r>
    </w:p>
    <w:p>
      <w:pPr>
        <w:pStyle w:val="Heading2"/>
      </w:pPr>
      <w:r>
        <w:t>6. Unterzeichnung</w:t>
      </w:r>
    </w:p>
    <w:p>
      <w:r>
        <w:t>[ORT, DATUM, UNTERSCHRIFTEN BEIDER PARTEIEN]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623 BGB – Schriftform und Ausschluss der elektronischen Form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4 KSchG – Dreiwöchige Klagefrist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159 SGB III – Sperrzeit</w:t>
        </w:r>
      </w:hyperlink>
      <w:r>
        <w:rPr>
          <w:sz w:val="18"/>
        </w:rPr>
        <w:t xml:space="preserve">  ·  </w:t>
      </w:r>
      <w:hyperlink r:id="rId16">
        <w:r>
          <w:rPr>
            <w:color w:val="166B63"/>
            <w:sz w:val="18"/>
          </w:rPr>
          <w:t>§ 158 SGB III – Ruhen bei Entlassungsentschädigung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kuendigungen/abwicklungsvertrag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bgb/__623.html" TargetMode="External"/><Relationship Id="rId14" Type="http://schemas.openxmlformats.org/officeDocument/2006/relationships/hyperlink" Target="https://www.gesetze-im-internet.de/kschg/__4.html" TargetMode="External"/><Relationship Id="rId15" Type="http://schemas.openxmlformats.org/officeDocument/2006/relationships/hyperlink" Target="https://www.gesetze-im-internet.de/sgb_3/__159.html" TargetMode="External"/><Relationship Id="rId16" Type="http://schemas.openxmlformats.org/officeDocument/2006/relationships/hyperlink" Target="https://www.gesetze-im-internet.de/sgb_3/__15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Abwicklungsvertrag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