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HR-Löschkonzept vorbereiten</w:t>
      </w:r>
    </w:p>
    <w:p>
      <w:pPr>
        <w:pStyle w:val="HRGuideHeading"/>
      </w:pPr>
      <w:r>
        <w:t>Fristen an Datenzweck und Auslöser knüpfen</w:t>
      </w:r>
    </w:p>
    <w:p>
      <w:pPr>
        <w:pStyle w:val="HRGuideBody"/>
      </w:pPr>
      <w:r>
        <w:t>Die Vorlage hilft, Datenkategorien und ihre Aufbewahrung zu unterscheiden. Eine einzige Frist für sämtliche HR-Unterlagen ist meist zu grob. Für jede Kategorie müssen Zweck, mögliche gesetzliche Aufbewahrung und das auslösende Ereignis nachvollziehbar sein.</w:t>
      </w:r>
    </w:p>
    <w:p>
      <w:pPr>
        <w:pStyle w:val="HRGuideBody"/>
      </w:pPr>
      <w:r>
        <w:t>Berücksichtigen Sie Kopien, E-Mails und Sicherungen. Eine Löschung im Hauptsystem ist unvollständig, wenn dieselben Daten dauerhaft auf Laufwerken weiterliegen. Ausnahmen brauchen einen konkreten Grund und einen Prüftermin. Unbegrenzte Speicherung für möglicherweise spätere Fragen ist keine ausreichende Standardlösung.</w:t>
      </w:r>
    </w:p>
    <w:p>
      <w:pPr>
        <w:pStyle w:val="HRGuideHeading"/>
      </w:pPr>
      <w:r>
        <w:t>Felder richtig ausfüllen</w:t>
      </w:r>
    </w:p>
    <w:p>
      <w:pPr>
        <w:pStyle w:val="HRGuideBody"/>
      </w:pPr>
      <w:r>
        <w:rPr>
          <w:b/>
        </w:rPr>
        <w:t xml:space="preserve">Datenkategorie: </w:t>
      </w:r>
      <w:r>
        <w:t>Bilden Sie fachlich sinnvolle Gruppen mit vergleichbarem Zweck. Bewerbungsunterlagen und Abrechnungsbelege benötigen nicht automatisch dieselbe Regel.</w:t>
      </w:r>
    </w:p>
    <w:p>
      <w:pPr>
        <w:pStyle w:val="HRGuideBody"/>
      </w:pPr>
      <w:r>
        <w:rPr>
          <w:b/>
        </w:rPr>
        <w:t xml:space="preserve">Verarbeitungszweck: </w:t>
      </w:r>
      <w:r>
        <w:t>Dokumentieren Sie, wofür die Daten noch erforderlich sind. Ein weggefallener ursprünglicher Zweck verlangt eine erneute Prüfung.</w:t>
      </w:r>
    </w:p>
    <w:p>
      <w:pPr>
        <w:pStyle w:val="HRGuideBody"/>
      </w:pPr>
      <w:r>
        <w:rPr>
          <w:b/>
        </w:rPr>
        <w:t xml:space="preserve">Systeme und Kopien: </w:t>
      </w:r>
      <w:r>
        <w:t>Erfassen Sie Hauptablage, Exporte, Postfächer und Dienstleister. Auch Wiederherstellung aus Backups muss organisatorisch berücksichtigt werden.</w:t>
      </w:r>
    </w:p>
    <w:p>
      <w:pPr>
        <w:pStyle w:val="HRGuideBody"/>
      </w:pPr>
      <w:r>
        <w:rPr>
          <w:b/>
        </w:rPr>
        <w:t xml:space="preserve">Verantwortliche Funktion: </w:t>
      </w:r>
      <w:r>
        <w:t>Legen Sie fachliche Entscheidung und technische Umsetzung fest. Ein Löschkonzept ohne zuständige Ausführung bleibt ein Papierplan.</w:t>
      </w:r>
    </w:p>
    <w:p>
      <w:pPr>
        <w:pStyle w:val="HRGuideHeading"/>
      </w:pPr>
      <w:r>
        <w:t>Fiktives Praxisbeispiel</w:t>
      </w:r>
    </w:p>
    <w:p>
      <w:pPr>
        <w:pStyle w:val="HRGuideBody"/>
      </w:pPr>
      <w:r>
        <w:t>Ein fiktiver Betrieb muss bestimmte Unterlagen wegen eines konkreten offenen Rechtsstreits vorübergehend behalten. Die Ausnahme wird begründet und begrenzt dokumentiert. Nach Abschluss wird erneut geprüft. Daraus entsteht keine allgemeine unbegrenzte Aufbewahrung sämtlicher Personalunterlagen.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https://caluma.jobs/hr-lexikon/vorlagen/loeschkonzept-vorbereitung/</w:t>
      </w:r>
    </w:p>
    <w:p>
      <w:pPr>
        <w:spacing w:after="0" w:before="0" w:line="240" w:lineRule="auto"/>
      </w:pPr>
      <w:r>
        <w:br w:type="page"/>
      </w:r>
    </w:p>
    <w:p>
      <w:pPr>
        <w:pStyle w:val="Title"/>
      </w:pPr>
      <w:r>
        <w:t>HR-Löschkonzept vorbereiten</w:t>
      </w:r>
    </w:p>
    <w:p>
      <w:pPr>
        <w:spacing w:after="140"/>
      </w:pPr>
      <w:r>
        <w:rPr>
          <w:color w:val="526A65"/>
          <w:sz w:val="18"/>
        </w:rPr>
        <w:t>Bearbeitbare Vorlage · Deutschland · Stand 15.09.2026</w:t>
      </w:r>
    </w:p>
    <w:p>
      <w:r>
        <w:t>Ein Löschkonzept legt fest, wann personenbezogene Daten nicht mehr benötigt werden, welche Aufbewahrungspflichten entgegenstehen und wie die Löschung umgesetzt wird. Es muss Datenarten und Zwecke unterscheiden. Ein einziger Zeitraum für die gesamte Personalakte ist meist nicht ausreichend.</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Datenkategorie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Verarbeitungszweck</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Systeme und Kopien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Verantwortliche Funktion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Rechtsgrund und Aufbewahrungsbedarf dokumentieren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Fristauslöser eindeutig definieren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Zulässige Ausnahmen und Sperrung regeln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Technische Löschung einschließlich Exporte planen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Backups und Wiederherstellung berücksichtigen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Ausführung und Kontrolle nachhalten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pauschale universelle Löschfrist verwenden. Gesetzliche Pflichten und konkrete Ansprüche pro Datenart prüfen.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https://caluma.jobs/hr-lexikon/vorlagen/loeschkonzept-vorbereitung/</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HR-Löschkonzept vorbereiten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